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1ED74">
      <w:pPr>
        <w:jc w:val="center"/>
        <w:rPr>
          <w:rFonts w:asciiTheme="minorEastAsia" w:hAnsiTheme="minorEastAsia"/>
          <w:b/>
          <w:sz w:val="30"/>
          <w:szCs w:val="30"/>
        </w:rPr>
      </w:pPr>
      <w:r>
        <w:rPr>
          <w:rFonts w:hint="eastAsia" w:asciiTheme="minorEastAsia" w:hAnsiTheme="minorEastAsia"/>
          <w:b/>
          <w:sz w:val="30"/>
          <w:szCs w:val="30"/>
        </w:rPr>
        <w:t>扬州洁源环境股份有限公司</w:t>
      </w:r>
      <w:r>
        <w:rPr>
          <w:rFonts w:hint="eastAsia" w:asciiTheme="minorEastAsia" w:hAnsiTheme="minorEastAsia"/>
          <w:b/>
          <w:sz w:val="30"/>
          <w:szCs w:val="30"/>
          <w:lang w:val="en-US" w:eastAsia="zh-CN"/>
        </w:rPr>
        <w:t>汤汪、六圩两厂</w:t>
      </w:r>
      <w:r>
        <w:rPr>
          <w:rFonts w:hint="eastAsia" w:asciiTheme="minorEastAsia" w:hAnsiTheme="minorEastAsia"/>
          <w:b/>
          <w:sz w:val="30"/>
          <w:szCs w:val="30"/>
        </w:rPr>
        <w:t>搅拌器起吊装置采购项目招标文件</w:t>
      </w:r>
    </w:p>
    <w:p w14:paraId="5AAF4219">
      <w:pPr>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为提高公司搅拌器检修效率，避免吊架支架转运安全风险，我公司拟采购一批起吊装置，适用于汤汪污水处理厂三期生物池和六圩污水处理厂二期生物池上。现邀请各单位对该采购项目递交报价。我方具体要求如下：</w:t>
      </w:r>
    </w:p>
    <w:p w14:paraId="10879373">
      <w:pPr>
        <w:spacing w:line="360" w:lineRule="auto"/>
        <w:ind w:firstLine="482" w:firstLineChars="200"/>
        <w:jc w:val="left"/>
        <w:rPr>
          <w:rFonts w:asciiTheme="minorEastAsia" w:hAnsiTheme="minorEastAsia"/>
          <w:b/>
          <w:sz w:val="24"/>
          <w:szCs w:val="24"/>
        </w:rPr>
      </w:pPr>
      <w:r>
        <w:rPr>
          <w:rFonts w:hint="eastAsia" w:asciiTheme="minorEastAsia" w:hAnsiTheme="minorEastAsia"/>
          <w:b/>
          <w:sz w:val="24"/>
          <w:szCs w:val="24"/>
        </w:rPr>
        <w:t>一、改造方案</w:t>
      </w:r>
    </w:p>
    <w:p w14:paraId="3C305880">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a、项目概述</w:t>
      </w:r>
    </w:p>
    <w:p w14:paraId="1FF18BB6">
      <w:pPr>
        <w:spacing w:line="360" w:lineRule="auto"/>
        <w:ind w:firstLine="480" w:firstLineChars="200"/>
        <w:rPr>
          <w:rFonts w:hint="eastAsia" w:asciiTheme="minorEastAsia" w:hAnsiTheme="minorEastAsia" w:eastAsiaTheme="minorEastAsia"/>
          <w:sz w:val="24"/>
          <w:szCs w:val="24"/>
          <w:lang w:eastAsia="zh-CN"/>
        </w:rPr>
      </w:pPr>
      <w:r>
        <w:rPr>
          <w:rFonts w:hint="eastAsia" w:asciiTheme="minorEastAsia" w:hAnsiTheme="minorEastAsia"/>
          <w:sz w:val="24"/>
          <w:szCs w:val="24"/>
        </w:rPr>
        <w:t>本项目场址位于</w:t>
      </w:r>
      <w:r>
        <w:rPr>
          <w:rFonts w:hint="eastAsia" w:asciiTheme="minorEastAsia" w:hAnsiTheme="minorEastAsia"/>
          <w:sz w:val="24"/>
          <w:szCs w:val="24"/>
          <w:lang w:eastAsia="zh-CN"/>
        </w:rPr>
        <w:t>：</w:t>
      </w:r>
    </w:p>
    <w:p w14:paraId="0482754B">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1、</w:t>
      </w:r>
      <w:r>
        <w:rPr>
          <w:rFonts w:asciiTheme="minorEastAsia" w:hAnsiTheme="minorEastAsia"/>
          <w:sz w:val="24"/>
          <w:szCs w:val="24"/>
        </w:rPr>
        <w:t>扬州</w:t>
      </w:r>
      <w:r>
        <w:rPr>
          <w:rFonts w:hint="eastAsia" w:asciiTheme="minorEastAsia" w:hAnsiTheme="minorEastAsia"/>
          <w:sz w:val="24"/>
          <w:szCs w:val="24"/>
        </w:rPr>
        <w:t>洁源环境股份有限公司汤汪污水处理厂（汤汪街道汤汪路1号）；</w:t>
      </w:r>
    </w:p>
    <w:p w14:paraId="25C00968">
      <w:pPr>
        <w:spacing w:line="360" w:lineRule="auto"/>
        <w:ind w:firstLine="480" w:firstLineChars="200"/>
        <w:rPr>
          <w:rFonts w:asciiTheme="minorEastAsia" w:hAnsiTheme="minorEastAsia"/>
          <w:sz w:val="24"/>
          <w:szCs w:val="24"/>
        </w:rPr>
      </w:pPr>
      <w:r>
        <w:rPr>
          <w:rFonts w:asciiTheme="minorEastAsia" w:hAnsiTheme="minorEastAsia"/>
          <w:sz w:val="24"/>
          <w:szCs w:val="24"/>
        </w:rPr>
        <w:t>2、扬州</w:t>
      </w:r>
      <w:r>
        <w:rPr>
          <w:rFonts w:hint="eastAsia" w:asciiTheme="minorEastAsia" w:hAnsiTheme="minorEastAsia"/>
          <w:sz w:val="24"/>
          <w:szCs w:val="24"/>
        </w:rPr>
        <w:t>洁源环境股份有限公司六圩污水处理厂（施桥镇临江路5号）。</w:t>
      </w:r>
    </w:p>
    <w:p w14:paraId="5335ABA1">
      <w:pPr>
        <w:spacing w:line="360" w:lineRule="auto"/>
        <w:ind w:firstLine="480" w:firstLineChars="200"/>
        <w:rPr>
          <w:rFonts w:asciiTheme="minorEastAsia" w:hAnsiTheme="minorEastAsia"/>
          <w:sz w:val="24"/>
          <w:szCs w:val="24"/>
        </w:rPr>
      </w:pPr>
      <w:r>
        <w:rPr>
          <w:rFonts w:asciiTheme="minorEastAsia" w:hAnsiTheme="minorEastAsia"/>
          <w:sz w:val="24"/>
          <w:szCs w:val="24"/>
        </w:rPr>
        <w:t>本</w:t>
      </w:r>
      <w:r>
        <w:rPr>
          <w:rFonts w:hint="eastAsia" w:asciiTheme="minorEastAsia" w:hAnsiTheme="minorEastAsia"/>
          <w:sz w:val="24"/>
          <w:szCs w:val="24"/>
        </w:rPr>
        <w:t>项目</w:t>
      </w:r>
      <w:r>
        <w:rPr>
          <w:rFonts w:asciiTheme="minorEastAsia" w:hAnsiTheme="minorEastAsia"/>
          <w:sz w:val="24"/>
          <w:szCs w:val="24"/>
        </w:rPr>
        <w:t>拟</w:t>
      </w:r>
      <w:r>
        <w:rPr>
          <w:rFonts w:hint="eastAsia" w:asciiTheme="minorEastAsia" w:hAnsiTheme="minorEastAsia"/>
          <w:sz w:val="24"/>
          <w:szCs w:val="24"/>
        </w:rPr>
        <w:t>在两厂区内生物池（汤汪污水处理厂三期生物池和六圩污水处理厂二期生物池）上采购安装一批起搅拌器吊装置，其中汤汪厂采购起吊装置16台、六圩厂采购起吊装置7台，以满足厂区设备吊装检修需求。吊装支架底座现场已经安装，</w:t>
      </w:r>
      <w:r>
        <w:rPr>
          <w:rFonts w:hint="eastAsia" w:asciiTheme="minorEastAsia" w:hAnsiTheme="minorEastAsia"/>
          <w:sz w:val="24"/>
          <w:szCs w:val="24"/>
          <w:lang w:val="en-US" w:eastAsia="zh-CN"/>
        </w:rPr>
        <w:t>无</w:t>
      </w:r>
      <w:r>
        <w:rPr>
          <w:rFonts w:hint="eastAsia" w:asciiTheme="minorEastAsia" w:hAnsiTheme="minorEastAsia"/>
          <w:sz w:val="24"/>
          <w:szCs w:val="24"/>
        </w:rPr>
        <w:t>需</w:t>
      </w:r>
      <w:r>
        <w:rPr>
          <w:rFonts w:hint="eastAsia" w:asciiTheme="minorEastAsia" w:hAnsiTheme="minorEastAsia"/>
          <w:sz w:val="24"/>
          <w:szCs w:val="24"/>
          <w:lang w:val="en-US" w:eastAsia="zh-CN"/>
        </w:rPr>
        <w:t>另行</w:t>
      </w:r>
      <w:r>
        <w:rPr>
          <w:rFonts w:hint="eastAsia" w:asciiTheme="minorEastAsia" w:hAnsiTheme="minorEastAsia"/>
          <w:sz w:val="24"/>
          <w:szCs w:val="24"/>
        </w:rPr>
        <w:t>配置。</w:t>
      </w:r>
    </w:p>
    <w:p w14:paraId="4D0618F4">
      <w:pPr>
        <w:pStyle w:val="4"/>
        <w:numPr>
          <w:ilvl w:val="0"/>
          <w:numId w:val="0"/>
        </w:numPr>
        <w:spacing w:line="360" w:lineRule="auto"/>
        <w:ind w:firstLine="480" w:firstLineChars="200"/>
        <w:rPr>
          <w:rFonts w:asciiTheme="minorEastAsia" w:hAnsiTheme="minorEastAsia" w:eastAsiaTheme="minorEastAsia"/>
          <w:szCs w:val="24"/>
        </w:rPr>
      </w:pPr>
      <w:r>
        <w:rPr>
          <w:rFonts w:hint="eastAsia" w:asciiTheme="minorEastAsia" w:hAnsiTheme="minorEastAsia" w:eastAsiaTheme="minorEastAsia"/>
          <w:szCs w:val="24"/>
        </w:rPr>
        <w:t>b、设计条件及功能要求</w:t>
      </w:r>
    </w:p>
    <w:p w14:paraId="4B9E6EFF">
      <w:pPr>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汤汪厂采购两种起吊装置，其中大号起吊装置6台,对应吊装推流器：SR4460.010飞力；小号起吊装置10台，对应吊装搅拌器：SR4660.412GP/SR4650.412GP。</w:t>
      </w:r>
    </w:p>
    <w:p w14:paraId="374A2A37">
      <w:pPr>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六圩厂采购起吊装置7台，对应吊装搅拌器型号：格兰富AFG22.230</w:t>
      </w:r>
      <w:r>
        <w:rPr>
          <w:rFonts w:asciiTheme="minorEastAsia" w:hAnsiTheme="minorEastAsia"/>
          <w:sz w:val="24"/>
          <w:szCs w:val="24"/>
        </w:rPr>
        <w:t>.</w:t>
      </w:r>
      <w:r>
        <w:rPr>
          <w:rFonts w:hint="eastAsia" w:asciiTheme="minorEastAsia" w:hAnsiTheme="minorEastAsia"/>
          <w:sz w:val="24"/>
          <w:szCs w:val="24"/>
        </w:rPr>
        <w:t>25PTO。</w:t>
      </w:r>
    </w:p>
    <w:p w14:paraId="48730044">
      <w:pPr>
        <w:spacing w:line="360" w:lineRule="auto"/>
        <w:ind w:firstLine="118" w:firstLineChars="49"/>
        <w:jc w:val="left"/>
        <w:rPr>
          <w:rFonts w:asciiTheme="minorEastAsia" w:hAnsiTheme="minorEastAsia"/>
          <w:b/>
          <w:sz w:val="24"/>
          <w:szCs w:val="24"/>
        </w:rPr>
      </w:pPr>
      <w:r>
        <w:rPr>
          <w:rFonts w:hint="eastAsia" w:asciiTheme="minorEastAsia" w:hAnsiTheme="minorEastAsia"/>
          <w:b/>
          <w:sz w:val="24"/>
          <w:szCs w:val="24"/>
        </w:rPr>
        <w:t>二、材料清单</w:t>
      </w:r>
    </w:p>
    <w:tbl>
      <w:tblPr>
        <w:tblStyle w:val="16"/>
        <w:tblpPr w:leftFromText="180" w:rightFromText="180" w:vertAnchor="text" w:horzAnchor="page" w:tblpXSpec="center" w:tblpY="255"/>
        <w:tblOverlap w:val="never"/>
        <w:tblW w:w="8601" w:type="dxa"/>
        <w:jc w:val="center"/>
        <w:tblLayout w:type="fixed"/>
        <w:tblCellMar>
          <w:top w:w="0" w:type="dxa"/>
          <w:left w:w="108" w:type="dxa"/>
          <w:bottom w:w="0" w:type="dxa"/>
          <w:right w:w="108" w:type="dxa"/>
        </w:tblCellMar>
      </w:tblPr>
      <w:tblGrid>
        <w:gridCol w:w="680"/>
        <w:gridCol w:w="1707"/>
        <w:gridCol w:w="2593"/>
        <w:gridCol w:w="680"/>
        <w:gridCol w:w="680"/>
        <w:gridCol w:w="2261"/>
      </w:tblGrid>
      <w:tr w14:paraId="08C1702D">
        <w:tblPrEx>
          <w:tblCellMar>
            <w:top w:w="0" w:type="dxa"/>
            <w:left w:w="108" w:type="dxa"/>
            <w:bottom w:w="0" w:type="dxa"/>
            <w:right w:w="108" w:type="dxa"/>
          </w:tblCellMar>
        </w:tblPrEx>
        <w:trPr>
          <w:trHeight w:val="680" w:hRule="atLeast"/>
          <w:jc w:val="center"/>
        </w:trPr>
        <w:tc>
          <w:tcPr>
            <w:tcW w:w="680" w:type="dxa"/>
            <w:tcBorders>
              <w:top w:val="single" w:color="auto" w:sz="4" w:space="0"/>
              <w:left w:val="single" w:color="auto" w:sz="4" w:space="0"/>
              <w:bottom w:val="single" w:color="auto" w:sz="4" w:space="0"/>
              <w:right w:val="single" w:color="auto" w:sz="4" w:space="0"/>
            </w:tcBorders>
            <w:shd w:val="clear" w:color="auto" w:fill="auto"/>
            <w:vAlign w:val="center"/>
          </w:tcPr>
          <w:p w14:paraId="5C00D1AE">
            <w:pPr>
              <w:widowControl/>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序号</w:t>
            </w:r>
          </w:p>
        </w:tc>
        <w:tc>
          <w:tcPr>
            <w:tcW w:w="1707" w:type="dxa"/>
            <w:tcBorders>
              <w:top w:val="single" w:color="auto" w:sz="4" w:space="0"/>
              <w:left w:val="nil"/>
              <w:bottom w:val="single" w:color="auto" w:sz="4" w:space="0"/>
              <w:right w:val="single" w:color="auto" w:sz="4" w:space="0"/>
            </w:tcBorders>
            <w:shd w:val="clear" w:color="auto" w:fill="auto"/>
            <w:vAlign w:val="center"/>
          </w:tcPr>
          <w:p w14:paraId="39DD552C">
            <w:pPr>
              <w:widowControl/>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设备名称</w:t>
            </w:r>
          </w:p>
        </w:tc>
        <w:tc>
          <w:tcPr>
            <w:tcW w:w="2593" w:type="dxa"/>
            <w:tcBorders>
              <w:top w:val="single" w:color="auto" w:sz="4" w:space="0"/>
              <w:left w:val="nil"/>
              <w:bottom w:val="single" w:color="auto" w:sz="4" w:space="0"/>
              <w:right w:val="single" w:color="auto" w:sz="4" w:space="0"/>
            </w:tcBorders>
            <w:shd w:val="clear" w:color="auto" w:fill="auto"/>
            <w:vAlign w:val="center"/>
          </w:tcPr>
          <w:p w14:paraId="10A6C112">
            <w:pPr>
              <w:widowControl/>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规格参数</w:t>
            </w:r>
          </w:p>
        </w:tc>
        <w:tc>
          <w:tcPr>
            <w:tcW w:w="680" w:type="dxa"/>
            <w:tcBorders>
              <w:top w:val="single" w:color="auto" w:sz="4" w:space="0"/>
              <w:left w:val="nil"/>
              <w:bottom w:val="single" w:color="auto" w:sz="4" w:space="0"/>
              <w:right w:val="single" w:color="auto" w:sz="4" w:space="0"/>
            </w:tcBorders>
            <w:shd w:val="clear" w:color="auto" w:fill="auto"/>
            <w:vAlign w:val="center"/>
          </w:tcPr>
          <w:p w14:paraId="2539D026">
            <w:pPr>
              <w:widowControl/>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单位</w:t>
            </w:r>
          </w:p>
        </w:tc>
        <w:tc>
          <w:tcPr>
            <w:tcW w:w="680" w:type="dxa"/>
            <w:tcBorders>
              <w:top w:val="single" w:color="auto" w:sz="4" w:space="0"/>
              <w:left w:val="nil"/>
              <w:bottom w:val="single" w:color="auto" w:sz="4" w:space="0"/>
              <w:right w:val="single" w:color="auto" w:sz="4" w:space="0"/>
            </w:tcBorders>
            <w:shd w:val="clear" w:color="auto" w:fill="auto"/>
            <w:vAlign w:val="center"/>
          </w:tcPr>
          <w:p w14:paraId="29323AAD">
            <w:pPr>
              <w:widowControl/>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数量</w:t>
            </w:r>
          </w:p>
        </w:tc>
        <w:tc>
          <w:tcPr>
            <w:tcW w:w="2261" w:type="dxa"/>
            <w:tcBorders>
              <w:top w:val="single" w:color="auto" w:sz="4" w:space="0"/>
              <w:left w:val="nil"/>
              <w:bottom w:val="single" w:color="auto" w:sz="4" w:space="0"/>
              <w:right w:val="single" w:color="auto" w:sz="4" w:space="0"/>
            </w:tcBorders>
            <w:shd w:val="clear" w:color="auto" w:fill="auto"/>
            <w:vAlign w:val="center"/>
          </w:tcPr>
          <w:p w14:paraId="05E5F5AE">
            <w:pPr>
              <w:widowControl/>
              <w:jc w:val="center"/>
              <w:textAlignment w:val="center"/>
              <w:rPr>
                <w:rFonts w:asciiTheme="minorEastAsia" w:hAnsiTheme="minorEastAsia" w:cstheme="minorEastAsia"/>
                <w:b/>
                <w:bCs/>
                <w:szCs w:val="21"/>
              </w:rPr>
            </w:pPr>
            <w:r>
              <w:rPr>
                <w:rFonts w:hint="eastAsia" w:asciiTheme="minorEastAsia" w:hAnsiTheme="minorEastAsia" w:cstheme="minorEastAsia"/>
                <w:b/>
                <w:bCs/>
                <w:kern w:val="0"/>
                <w:szCs w:val="21"/>
                <w:lang w:bidi="ar"/>
              </w:rPr>
              <w:t>安装厂区</w:t>
            </w:r>
          </w:p>
        </w:tc>
      </w:tr>
      <w:tr w14:paraId="0125DE04">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669AD650">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1</w:t>
            </w:r>
          </w:p>
        </w:tc>
        <w:tc>
          <w:tcPr>
            <w:tcW w:w="1707" w:type="dxa"/>
            <w:tcBorders>
              <w:top w:val="nil"/>
              <w:left w:val="nil"/>
              <w:bottom w:val="single" w:color="auto" w:sz="4" w:space="0"/>
              <w:right w:val="single" w:color="auto" w:sz="4" w:space="0"/>
            </w:tcBorders>
            <w:shd w:val="clear" w:color="auto" w:fill="auto"/>
            <w:noWrap/>
            <w:vAlign w:val="center"/>
          </w:tcPr>
          <w:p w14:paraId="4D24B3A4">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飞力推流器</w:t>
            </w:r>
          </w:p>
          <w:p w14:paraId="056CF58C">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吊装支架</w:t>
            </w:r>
          </w:p>
        </w:tc>
        <w:tc>
          <w:tcPr>
            <w:tcW w:w="2593" w:type="dxa"/>
            <w:tcBorders>
              <w:top w:val="nil"/>
              <w:left w:val="nil"/>
              <w:bottom w:val="single" w:color="auto" w:sz="4" w:space="0"/>
              <w:right w:val="single" w:color="auto" w:sz="4" w:space="0"/>
            </w:tcBorders>
            <w:shd w:val="clear" w:color="auto" w:fill="auto"/>
            <w:vAlign w:val="center"/>
          </w:tcPr>
          <w:p w14:paraId="6E3B9ABF">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支架304不锈钢，管壁厚度5mm，绞盘304不锈钢</w:t>
            </w:r>
          </w:p>
        </w:tc>
        <w:tc>
          <w:tcPr>
            <w:tcW w:w="680" w:type="dxa"/>
            <w:tcBorders>
              <w:top w:val="nil"/>
              <w:left w:val="nil"/>
              <w:bottom w:val="single" w:color="auto" w:sz="4" w:space="0"/>
              <w:right w:val="single" w:color="auto" w:sz="4" w:space="0"/>
            </w:tcBorders>
            <w:shd w:val="clear" w:color="auto" w:fill="auto"/>
            <w:noWrap/>
            <w:vAlign w:val="center"/>
          </w:tcPr>
          <w:p w14:paraId="26BB141E">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台</w:t>
            </w:r>
          </w:p>
        </w:tc>
        <w:tc>
          <w:tcPr>
            <w:tcW w:w="680" w:type="dxa"/>
            <w:tcBorders>
              <w:top w:val="nil"/>
              <w:left w:val="nil"/>
              <w:bottom w:val="single" w:color="auto" w:sz="4" w:space="0"/>
              <w:right w:val="single" w:color="auto" w:sz="4" w:space="0"/>
            </w:tcBorders>
            <w:shd w:val="clear" w:color="auto" w:fill="auto"/>
            <w:noWrap/>
            <w:vAlign w:val="center"/>
          </w:tcPr>
          <w:p w14:paraId="7FEE5B98">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6</w:t>
            </w:r>
          </w:p>
        </w:tc>
        <w:tc>
          <w:tcPr>
            <w:tcW w:w="2261" w:type="dxa"/>
            <w:tcBorders>
              <w:top w:val="nil"/>
              <w:left w:val="nil"/>
              <w:bottom w:val="single" w:color="auto" w:sz="4" w:space="0"/>
              <w:right w:val="single" w:color="auto" w:sz="4" w:space="0"/>
            </w:tcBorders>
            <w:shd w:val="clear" w:color="auto" w:fill="auto"/>
            <w:noWrap/>
            <w:vAlign w:val="center"/>
          </w:tcPr>
          <w:p w14:paraId="34ECCFEB">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汤汪厂</w:t>
            </w:r>
          </w:p>
        </w:tc>
      </w:tr>
      <w:tr w14:paraId="14E7C23D">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529EC296">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2</w:t>
            </w:r>
          </w:p>
        </w:tc>
        <w:tc>
          <w:tcPr>
            <w:tcW w:w="1707" w:type="dxa"/>
            <w:tcBorders>
              <w:top w:val="nil"/>
              <w:left w:val="nil"/>
              <w:bottom w:val="single" w:color="auto" w:sz="4" w:space="0"/>
              <w:right w:val="single" w:color="auto" w:sz="4" w:space="0"/>
            </w:tcBorders>
            <w:shd w:val="clear" w:color="auto" w:fill="auto"/>
            <w:noWrap/>
            <w:vAlign w:val="center"/>
          </w:tcPr>
          <w:p w14:paraId="12221155">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飞力搅拌器</w:t>
            </w:r>
          </w:p>
          <w:p w14:paraId="082A8272">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吊装支架</w:t>
            </w:r>
          </w:p>
        </w:tc>
        <w:tc>
          <w:tcPr>
            <w:tcW w:w="2593" w:type="dxa"/>
            <w:tcBorders>
              <w:top w:val="nil"/>
              <w:left w:val="nil"/>
              <w:bottom w:val="single" w:color="auto" w:sz="4" w:space="0"/>
              <w:right w:val="single" w:color="auto" w:sz="4" w:space="0"/>
            </w:tcBorders>
            <w:shd w:val="clear" w:color="auto" w:fill="auto"/>
            <w:vAlign w:val="center"/>
          </w:tcPr>
          <w:p w14:paraId="4526D1F3">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304不锈钢，管壁厚度5mm，绞盘304不锈钢</w:t>
            </w:r>
          </w:p>
        </w:tc>
        <w:tc>
          <w:tcPr>
            <w:tcW w:w="680" w:type="dxa"/>
            <w:tcBorders>
              <w:top w:val="nil"/>
              <w:left w:val="nil"/>
              <w:bottom w:val="single" w:color="auto" w:sz="4" w:space="0"/>
              <w:right w:val="single" w:color="auto" w:sz="4" w:space="0"/>
            </w:tcBorders>
            <w:shd w:val="clear" w:color="auto" w:fill="auto"/>
            <w:noWrap/>
            <w:vAlign w:val="center"/>
          </w:tcPr>
          <w:p w14:paraId="31AD6AA6">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台</w:t>
            </w:r>
          </w:p>
        </w:tc>
        <w:tc>
          <w:tcPr>
            <w:tcW w:w="680" w:type="dxa"/>
            <w:tcBorders>
              <w:top w:val="nil"/>
              <w:left w:val="nil"/>
              <w:bottom w:val="single" w:color="auto" w:sz="4" w:space="0"/>
              <w:right w:val="single" w:color="auto" w:sz="4" w:space="0"/>
            </w:tcBorders>
            <w:shd w:val="clear" w:color="auto" w:fill="auto"/>
            <w:noWrap/>
            <w:vAlign w:val="center"/>
          </w:tcPr>
          <w:p w14:paraId="1C261BA0">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10</w:t>
            </w:r>
          </w:p>
        </w:tc>
        <w:tc>
          <w:tcPr>
            <w:tcW w:w="2261" w:type="dxa"/>
            <w:tcBorders>
              <w:top w:val="nil"/>
              <w:left w:val="nil"/>
              <w:bottom w:val="single" w:color="auto" w:sz="4" w:space="0"/>
              <w:right w:val="single" w:color="auto" w:sz="4" w:space="0"/>
            </w:tcBorders>
            <w:shd w:val="clear" w:color="auto" w:fill="auto"/>
            <w:noWrap/>
            <w:vAlign w:val="center"/>
          </w:tcPr>
          <w:p w14:paraId="1C023318">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汤汪厂</w:t>
            </w:r>
          </w:p>
        </w:tc>
      </w:tr>
      <w:tr w14:paraId="50D2CBB9">
        <w:tblPrEx>
          <w:tblCellMar>
            <w:top w:w="0" w:type="dxa"/>
            <w:left w:w="108" w:type="dxa"/>
            <w:bottom w:w="0" w:type="dxa"/>
            <w:right w:w="108" w:type="dxa"/>
          </w:tblCellMar>
        </w:tblPrEx>
        <w:trPr>
          <w:trHeight w:val="680" w:hRule="atLeast"/>
          <w:jc w:val="center"/>
        </w:trPr>
        <w:tc>
          <w:tcPr>
            <w:tcW w:w="680" w:type="dxa"/>
            <w:tcBorders>
              <w:top w:val="nil"/>
              <w:left w:val="single" w:color="auto" w:sz="4" w:space="0"/>
              <w:bottom w:val="single" w:color="auto" w:sz="4" w:space="0"/>
              <w:right w:val="single" w:color="auto" w:sz="4" w:space="0"/>
            </w:tcBorders>
            <w:shd w:val="clear" w:color="auto" w:fill="auto"/>
            <w:noWrap/>
            <w:vAlign w:val="center"/>
          </w:tcPr>
          <w:p w14:paraId="13FACE0E">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kern w:val="0"/>
                <w:szCs w:val="21"/>
                <w:lang w:bidi="ar"/>
              </w:rPr>
              <w:t>3</w:t>
            </w:r>
          </w:p>
        </w:tc>
        <w:tc>
          <w:tcPr>
            <w:tcW w:w="1707" w:type="dxa"/>
            <w:tcBorders>
              <w:top w:val="nil"/>
              <w:left w:val="nil"/>
              <w:bottom w:val="single" w:color="auto" w:sz="4" w:space="0"/>
              <w:right w:val="single" w:color="auto" w:sz="4" w:space="0"/>
            </w:tcBorders>
            <w:shd w:val="clear" w:color="auto" w:fill="auto"/>
            <w:noWrap/>
            <w:vAlign w:val="center"/>
          </w:tcPr>
          <w:p w14:paraId="4AF325B0">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格兰富搅拌器</w:t>
            </w:r>
          </w:p>
          <w:p w14:paraId="3B3CA455">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吊装支架</w:t>
            </w:r>
          </w:p>
        </w:tc>
        <w:tc>
          <w:tcPr>
            <w:tcW w:w="2593" w:type="dxa"/>
            <w:tcBorders>
              <w:top w:val="nil"/>
              <w:left w:val="nil"/>
              <w:bottom w:val="single" w:color="auto" w:sz="4" w:space="0"/>
              <w:right w:val="single" w:color="auto" w:sz="4" w:space="0"/>
            </w:tcBorders>
            <w:shd w:val="clear" w:color="auto" w:fill="auto"/>
            <w:vAlign w:val="center"/>
          </w:tcPr>
          <w:p w14:paraId="76C92D6E">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304不锈钢，管壁厚度5mm，绞盘304不锈钢</w:t>
            </w:r>
          </w:p>
        </w:tc>
        <w:tc>
          <w:tcPr>
            <w:tcW w:w="680" w:type="dxa"/>
            <w:tcBorders>
              <w:top w:val="nil"/>
              <w:left w:val="nil"/>
              <w:bottom w:val="single" w:color="auto" w:sz="4" w:space="0"/>
              <w:right w:val="single" w:color="auto" w:sz="4" w:space="0"/>
            </w:tcBorders>
            <w:shd w:val="clear" w:color="auto" w:fill="auto"/>
            <w:noWrap/>
            <w:vAlign w:val="center"/>
          </w:tcPr>
          <w:p w14:paraId="516BEC67">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台</w:t>
            </w:r>
          </w:p>
        </w:tc>
        <w:tc>
          <w:tcPr>
            <w:tcW w:w="680" w:type="dxa"/>
            <w:tcBorders>
              <w:top w:val="nil"/>
              <w:left w:val="nil"/>
              <w:bottom w:val="single" w:color="auto" w:sz="4" w:space="0"/>
              <w:right w:val="single" w:color="auto" w:sz="4" w:space="0"/>
            </w:tcBorders>
            <w:shd w:val="clear" w:color="auto" w:fill="auto"/>
            <w:noWrap/>
            <w:vAlign w:val="center"/>
          </w:tcPr>
          <w:p w14:paraId="3B19E5B8">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7</w:t>
            </w:r>
          </w:p>
        </w:tc>
        <w:tc>
          <w:tcPr>
            <w:tcW w:w="2261" w:type="dxa"/>
            <w:tcBorders>
              <w:top w:val="nil"/>
              <w:left w:val="nil"/>
              <w:bottom w:val="single" w:color="auto" w:sz="4" w:space="0"/>
              <w:right w:val="single" w:color="auto" w:sz="4" w:space="0"/>
            </w:tcBorders>
            <w:shd w:val="clear" w:color="auto" w:fill="auto"/>
            <w:noWrap/>
            <w:vAlign w:val="center"/>
          </w:tcPr>
          <w:p w14:paraId="52CE2CED">
            <w:pPr>
              <w:widowControl/>
              <w:jc w:val="center"/>
              <w:textAlignment w:val="center"/>
              <w:rPr>
                <w:rFonts w:asciiTheme="minorEastAsia" w:hAnsiTheme="minorEastAsia" w:cstheme="minorEastAsia"/>
                <w:color w:val="000000"/>
                <w:szCs w:val="21"/>
              </w:rPr>
            </w:pPr>
            <w:r>
              <w:rPr>
                <w:rFonts w:hint="eastAsia" w:asciiTheme="minorEastAsia" w:hAnsiTheme="minorEastAsia" w:cstheme="minorEastAsia"/>
                <w:color w:val="000000"/>
                <w:szCs w:val="21"/>
              </w:rPr>
              <w:t>六圩厂</w:t>
            </w:r>
          </w:p>
        </w:tc>
      </w:tr>
    </w:tbl>
    <w:p w14:paraId="56DB657E">
      <w:pPr>
        <w:pStyle w:val="24"/>
        <w:spacing w:before="156" w:beforeLines="50" w:beforeAutospacing="0" w:after="0" w:line="360" w:lineRule="auto"/>
        <w:ind w:firstLine="480"/>
        <w:jc w:val="left"/>
        <w:rPr>
          <w:rFonts w:asciiTheme="minorEastAsia" w:hAnsiTheme="minorEastAsia" w:eastAsiaTheme="minorEastAsia" w:cstheme="minorBidi"/>
          <w:sz w:val="24"/>
          <w:szCs w:val="24"/>
        </w:rPr>
      </w:pPr>
      <w:r>
        <w:rPr>
          <w:rFonts w:hint="eastAsia" w:asciiTheme="minorEastAsia" w:hAnsiTheme="minorEastAsia" w:eastAsiaTheme="minorEastAsia" w:cstheme="minorBidi"/>
          <w:sz w:val="24"/>
          <w:szCs w:val="24"/>
        </w:rPr>
        <w:t>1</w:t>
      </w:r>
      <w:r>
        <w:rPr>
          <w:rFonts w:asciiTheme="minorEastAsia" w:hAnsiTheme="minorEastAsia" w:eastAsiaTheme="minorEastAsia" w:cstheme="minorBidi"/>
          <w:sz w:val="24"/>
          <w:szCs w:val="24"/>
        </w:rPr>
        <w:t>.</w:t>
      </w:r>
      <w:r>
        <w:rPr>
          <w:rFonts w:hint="eastAsia" w:asciiTheme="minorEastAsia" w:hAnsiTheme="minorEastAsia" w:eastAsiaTheme="minorEastAsia" w:cstheme="minorBidi"/>
          <w:sz w:val="24"/>
          <w:szCs w:val="24"/>
        </w:rPr>
        <w:t>本次推流器吊装支架采购项目需包含供货、安装，其中安装附件需满足甲方现场要求。中标人需将支架组装并安装到位，并进行每个搅拌器初次吊装，价格包含在报价中。</w:t>
      </w:r>
    </w:p>
    <w:p w14:paraId="0E061B8E">
      <w:pPr>
        <w:pStyle w:val="24"/>
        <w:spacing w:before="0" w:beforeAutospacing="0" w:after="0" w:line="360" w:lineRule="auto"/>
        <w:ind w:firstLine="480"/>
        <w:jc w:val="left"/>
        <w:rPr>
          <w:rFonts w:asciiTheme="minorEastAsia" w:hAnsiTheme="minorEastAsia" w:eastAsiaTheme="minorEastAsia" w:cstheme="minorBidi"/>
          <w:sz w:val="24"/>
          <w:szCs w:val="24"/>
        </w:rPr>
      </w:pPr>
      <w:r>
        <w:rPr>
          <w:rFonts w:hint="eastAsia" w:asciiTheme="minorEastAsia" w:hAnsiTheme="minorEastAsia" w:eastAsiaTheme="minorEastAsia" w:cstheme="minorBidi"/>
          <w:sz w:val="24"/>
          <w:szCs w:val="24"/>
        </w:rPr>
        <w:t>2.中标人供货需考虑围栏的位置，由于供货原因导致围栏调整的，由中标人负责。</w:t>
      </w:r>
    </w:p>
    <w:p w14:paraId="278BF40E">
      <w:pPr>
        <w:pStyle w:val="24"/>
        <w:spacing w:before="0" w:beforeAutospacing="0" w:after="0" w:line="360" w:lineRule="auto"/>
        <w:ind w:firstLine="480"/>
        <w:jc w:val="left"/>
        <w:rPr>
          <w:rFonts w:asciiTheme="minorEastAsia" w:hAnsiTheme="minorEastAsia" w:eastAsiaTheme="minorEastAsia" w:cstheme="minorBidi"/>
          <w:sz w:val="24"/>
          <w:szCs w:val="24"/>
        </w:rPr>
      </w:pPr>
      <w:r>
        <w:rPr>
          <w:rFonts w:hint="eastAsia" w:asciiTheme="minorEastAsia" w:hAnsiTheme="minorEastAsia" w:eastAsiaTheme="minorEastAsia" w:cstheme="minorBidi"/>
          <w:sz w:val="24"/>
          <w:szCs w:val="24"/>
        </w:rPr>
        <w:t>3.吊装装置尺寸图例见附件1，仅供参考，但供货必须满足吊装使用及重量要求。</w:t>
      </w:r>
    </w:p>
    <w:p w14:paraId="0EC84ADE">
      <w:pPr>
        <w:pStyle w:val="24"/>
        <w:tabs>
          <w:tab w:val="left" w:pos="1080"/>
          <w:tab w:val="left" w:pos="1260"/>
        </w:tabs>
        <w:spacing w:before="0" w:beforeAutospacing="0" w:after="0" w:line="360" w:lineRule="auto"/>
        <w:ind w:firstLine="480"/>
        <w:jc w:val="left"/>
        <w:rPr>
          <w:rFonts w:asciiTheme="minorEastAsia" w:hAnsiTheme="minorEastAsia" w:eastAsiaTheme="minorEastAsia" w:cstheme="minorBidi"/>
          <w:sz w:val="24"/>
          <w:szCs w:val="24"/>
        </w:rPr>
      </w:pPr>
      <w:r>
        <w:rPr>
          <w:rFonts w:hint="eastAsia" w:asciiTheme="minorEastAsia" w:hAnsiTheme="minorEastAsia" w:eastAsiaTheme="minorEastAsia" w:cstheme="minorBidi"/>
          <w:sz w:val="24"/>
          <w:szCs w:val="24"/>
        </w:rPr>
        <w:t>4.以上清单内容不包含此项改造的全部内容，以现场查勘及招标方现场实际要求为准（本次不组织集中查勘现场，请各投标人自行查勘现场，现场查勘联系人：张传标 18952798198）。</w:t>
      </w:r>
    </w:p>
    <w:p w14:paraId="34ECD089">
      <w:pPr>
        <w:spacing w:line="360" w:lineRule="auto"/>
        <w:ind w:left="479" w:leftChars="228"/>
        <w:jc w:val="left"/>
        <w:rPr>
          <w:rFonts w:asciiTheme="minorEastAsia" w:hAnsiTheme="minorEastAsia"/>
          <w:b/>
          <w:sz w:val="24"/>
          <w:szCs w:val="24"/>
        </w:rPr>
      </w:pPr>
      <w:r>
        <w:rPr>
          <w:rFonts w:hint="eastAsia" w:asciiTheme="minorEastAsia" w:hAnsiTheme="minorEastAsia"/>
          <w:b/>
          <w:sz w:val="24"/>
          <w:szCs w:val="24"/>
        </w:rPr>
        <w:t>三.报价形式：</w:t>
      </w:r>
    </w:p>
    <w:p w14:paraId="7C08DFD9">
      <w:pPr>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1.各报价单位需结合现场查勘情况进行报价确保现场的正常运行，此价格包含本项目涉及到的一切费用（</w:t>
      </w:r>
      <w:r>
        <w:rPr>
          <w:rFonts w:hint="eastAsia" w:asciiTheme="minorEastAsia" w:hAnsiTheme="minorEastAsia"/>
          <w:color w:val="000000"/>
          <w:sz w:val="24"/>
          <w:szCs w:val="24"/>
        </w:rPr>
        <w:t>包含材料、税费13%、利润、运输</w:t>
      </w:r>
      <w:r>
        <w:rPr>
          <w:rFonts w:hint="eastAsia" w:asciiTheme="minorEastAsia" w:hAnsiTheme="minorEastAsia"/>
          <w:sz w:val="24"/>
          <w:szCs w:val="24"/>
        </w:rPr>
        <w:t>费、装卸费</w:t>
      </w:r>
      <w:r>
        <w:rPr>
          <w:rFonts w:hint="eastAsia" w:asciiTheme="minorEastAsia" w:hAnsiTheme="minorEastAsia"/>
          <w:color w:val="000000"/>
          <w:sz w:val="24"/>
          <w:szCs w:val="24"/>
        </w:rPr>
        <w:t>、安装费、初次吊装、保险费、售后服务费等所有费用</w:t>
      </w:r>
      <w:r>
        <w:rPr>
          <w:rFonts w:hint="eastAsia" w:asciiTheme="minorEastAsia" w:hAnsiTheme="minorEastAsia"/>
          <w:sz w:val="24"/>
          <w:szCs w:val="24"/>
        </w:rPr>
        <w:t>）。</w:t>
      </w:r>
    </w:p>
    <w:p w14:paraId="7B807DFE">
      <w:pPr>
        <w:spacing w:line="360" w:lineRule="auto"/>
        <w:ind w:left="479" w:leftChars="228"/>
        <w:jc w:val="left"/>
        <w:rPr>
          <w:rFonts w:asciiTheme="minorEastAsia" w:hAnsiTheme="minorEastAsia"/>
          <w:sz w:val="24"/>
          <w:szCs w:val="24"/>
        </w:rPr>
      </w:pPr>
      <w:r>
        <w:rPr>
          <w:rFonts w:hint="eastAsia" w:asciiTheme="minorEastAsia" w:hAnsiTheme="minorEastAsia"/>
          <w:sz w:val="24"/>
          <w:szCs w:val="24"/>
        </w:rPr>
        <w:t>2.</w:t>
      </w:r>
      <w:r>
        <w:rPr>
          <w:rFonts w:hint="eastAsia" w:asciiTheme="minorEastAsia" w:hAnsiTheme="minorEastAsia"/>
          <w:b/>
          <w:sz w:val="24"/>
          <w:szCs w:val="24"/>
        </w:rPr>
        <w:t>最高限价：1</w:t>
      </w:r>
      <w:r>
        <w:rPr>
          <w:rFonts w:asciiTheme="minorEastAsia" w:hAnsiTheme="minorEastAsia"/>
          <w:b/>
          <w:sz w:val="24"/>
          <w:szCs w:val="24"/>
        </w:rPr>
        <w:t>1</w:t>
      </w:r>
      <w:r>
        <w:rPr>
          <w:rFonts w:hint="eastAsia" w:asciiTheme="minorEastAsia" w:hAnsiTheme="minorEastAsia"/>
          <w:b/>
          <w:sz w:val="24"/>
          <w:szCs w:val="24"/>
        </w:rPr>
        <w:t>.</w:t>
      </w:r>
      <w:r>
        <w:rPr>
          <w:rFonts w:asciiTheme="minorEastAsia" w:hAnsiTheme="minorEastAsia"/>
          <w:b/>
          <w:sz w:val="24"/>
          <w:szCs w:val="24"/>
        </w:rPr>
        <w:t>8</w:t>
      </w:r>
      <w:r>
        <w:rPr>
          <w:rFonts w:hint="eastAsia" w:asciiTheme="minorEastAsia" w:hAnsiTheme="minorEastAsia"/>
          <w:b/>
          <w:sz w:val="24"/>
          <w:szCs w:val="24"/>
        </w:rPr>
        <w:t>万元（含税）</w:t>
      </w:r>
      <w:r>
        <w:rPr>
          <w:rFonts w:hint="eastAsia" w:asciiTheme="minorEastAsia" w:hAnsiTheme="minorEastAsia"/>
          <w:sz w:val="24"/>
          <w:szCs w:val="24"/>
        </w:rPr>
        <w:t>。</w:t>
      </w:r>
    </w:p>
    <w:p w14:paraId="0B6E6459">
      <w:pPr>
        <w:spacing w:line="440" w:lineRule="exact"/>
        <w:ind w:firstLine="482" w:firstLineChars="200"/>
        <w:rPr>
          <w:rFonts w:asciiTheme="minorEastAsia" w:hAnsiTheme="minorEastAsia"/>
          <w:b/>
          <w:sz w:val="24"/>
          <w:szCs w:val="24"/>
        </w:rPr>
      </w:pPr>
      <w:r>
        <w:rPr>
          <w:rFonts w:hint="eastAsia" w:asciiTheme="minorEastAsia" w:hAnsiTheme="minorEastAsia"/>
          <w:b/>
          <w:sz w:val="24"/>
          <w:szCs w:val="24"/>
        </w:rPr>
        <w:t>四、材料要求：</w:t>
      </w:r>
    </w:p>
    <w:p w14:paraId="250C738A">
      <w:pPr>
        <w:spacing w:line="360" w:lineRule="auto"/>
        <w:ind w:firstLine="480" w:firstLineChars="200"/>
        <w:jc w:val="left"/>
        <w:rPr>
          <w:rFonts w:asciiTheme="minorEastAsia" w:hAnsiTheme="minorEastAsia"/>
          <w:sz w:val="24"/>
          <w:szCs w:val="24"/>
        </w:rPr>
      </w:pPr>
      <w:r>
        <w:rPr>
          <w:rFonts w:asciiTheme="minorEastAsia" w:hAnsiTheme="minorEastAsia"/>
          <w:sz w:val="24"/>
          <w:szCs w:val="24"/>
        </w:rPr>
        <w:t>提供但不限于以下加盖公章复印件材料一套：</w:t>
      </w:r>
    </w:p>
    <w:p w14:paraId="69B93A5D">
      <w:pPr>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1.</w:t>
      </w:r>
      <w:r>
        <w:rPr>
          <w:rFonts w:asciiTheme="minorEastAsia" w:hAnsiTheme="minorEastAsia"/>
          <w:sz w:val="24"/>
          <w:szCs w:val="24"/>
        </w:rPr>
        <w:t>营业执照</w:t>
      </w:r>
      <w:r>
        <w:rPr>
          <w:rFonts w:hint="eastAsia" w:asciiTheme="minorEastAsia" w:hAnsiTheme="minorEastAsia"/>
          <w:bCs/>
          <w:sz w:val="24"/>
          <w:szCs w:val="24"/>
        </w:rPr>
        <w:t>副本(复印件并加盖公章及投标人公章)</w:t>
      </w:r>
      <w:r>
        <w:rPr>
          <w:rFonts w:hint="eastAsia" w:asciiTheme="minorEastAsia" w:hAnsiTheme="minorEastAsia"/>
          <w:sz w:val="24"/>
          <w:szCs w:val="24"/>
        </w:rPr>
        <w:t>。</w:t>
      </w:r>
    </w:p>
    <w:p w14:paraId="0200FBB3">
      <w:pPr>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2.若法定代表人参加投标的，须提供本人身份证复印件；若授权代表参加的，须提供法人授权书和授权代表身份证</w:t>
      </w:r>
      <w:r>
        <w:rPr>
          <w:rFonts w:hint="eastAsia" w:asciiTheme="minorEastAsia" w:hAnsiTheme="minorEastAsia"/>
          <w:bCs/>
          <w:sz w:val="24"/>
          <w:szCs w:val="24"/>
        </w:rPr>
        <w:t>复印件并加盖公章</w:t>
      </w:r>
      <w:r>
        <w:rPr>
          <w:rFonts w:hint="eastAsia" w:asciiTheme="minorEastAsia" w:hAnsiTheme="minorEastAsia"/>
          <w:sz w:val="24"/>
          <w:szCs w:val="24"/>
        </w:rPr>
        <w:t>。</w:t>
      </w:r>
    </w:p>
    <w:p w14:paraId="2AE6F6A9">
      <w:pPr>
        <w:spacing w:line="360" w:lineRule="auto"/>
        <w:ind w:firstLine="480" w:firstLineChars="200"/>
        <w:jc w:val="left"/>
        <w:rPr>
          <w:rFonts w:asciiTheme="minorEastAsia" w:hAnsiTheme="minorEastAsia"/>
          <w:bCs/>
          <w:sz w:val="24"/>
          <w:szCs w:val="24"/>
        </w:rPr>
      </w:pPr>
      <w:r>
        <w:rPr>
          <w:rFonts w:hint="eastAsia" w:asciiTheme="minorEastAsia" w:hAnsiTheme="minorEastAsia"/>
          <w:bCs/>
          <w:sz w:val="24"/>
          <w:szCs w:val="24"/>
        </w:rPr>
        <w:t>3</w:t>
      </w:r>
      <w:r>
        <w:rPr>
          <w:rFonts w:asciiTheme="minorEastAsia" w:hAnsiTheme="minorEastAsia"/>
          <w:bCs/>
          <w:sz w:val="24"/>
          <w:szCs w:val="24"/>
        </w:rPr>
        <w:t>.</w:t>
      </w:r>
      <w:r>
        <w:rPr>
          <w:rFonts w:hint="eastAsia" w:asciiTheme="minorEastAsia" w:hAnsiTheme="minorEastAsia"/>
          <w:bCs/>
          <w:sz w:val="24"/>
          <w:szCs w:val="24"/>
        </w:rPr>
        <w:t>依法缴纳职工社会保障资金的证明材料(复印件并加盖公章加盖投标人公章)(税务、银行或社会保险基金管理部门出具的近三个月内任意一份缴纳职工社会保障资金的缴款凭证或缴款证明)。</w:t>
      </w:r>
    </w:p>
    <w:p w14:paraId="7991768D">
      <w:pPr>
        <w:spacing w:line="360" w:lineRule="auto"/>
        <w:ind w:firstLine="480" w:firstLineChars="200"/>
        <w:jc w:val="left"/>
        <w:rPr>
          <w:rFonts w:asciiTheme="minorEastAsia" w:hAnsiTheme="minorEastAsia"/>
          <w:bCs/>
          <w:sz w:val="24"/>
          <w:szCs w:val="24"/>
        </w:rPr>
      </w:pPr>
      <w:r>
        <w:rPr>
          <w:rFonts w:hint="eastAsia" w:asciiTheme="minorEastAsia" w:hAnsiTheme="minorEastAsia"/>
          <w:bCs/>
          <w:sz w:val="24"/>
          <w:szCs w:val="24"/>
        </w:rPr>
        <w:t>4</w:t>
      </w:r>
      <w:r>
        <w:rPr>
          <w:rFonts w:asciiTheme="minorEastAsia" w:hAnsiTheme="minorEastAsia"/>
          <w:bCs/>
          <w:sz w:val="24"/>
          <w:szCs w:val="24"/>
        </w:rPr>
        <w:t>.</w:t>
      </w:r>
      <w:r>
        <w:rPr>
          <w:rFonts w:hint="eastAsia" w:asciiTheme="minorEastAsia" w:hAnsiTheme="minorEastAsia"/>
          <w:bCs/>
          <w:sz w:val="24"/>
          <w:szCs w:val="24"/>
        </w:rPr>
        <w:t>投标人参加本次采购活动前3年内在经营活动中没有重大违法记录的书面声明（原件加盖公章）。</w:t>
      </w:r>
    </w:p>
    <w:p w14:paraId="64BF26B4">
      <w:pPr>
        <w:spacing w:line="360" w:lineRule="auto"/>
        <w:ind w:firstLine="480" w:firstLineChars="200"/>
        <w:jc w:val="left"/>
        <w:rPr>
          <w:rFonts w:asciiTheme="minorEastAsia" w:hAnsiTheme="minorEastAsia"/>
          <w:sz w:val="24"/>
          <w:szCs w:val="24"/>
        </w:rPr>
      </w:pPr>
      <w:r>
        <w:rPr>
          <w:rFonts w:asciiTheme="minorEastAsia" w:hAnsiTheme="minorEastAsia"/>
          <w:sz w:val="24"/>
          <w:szCs w:val="24"/>
        </w:rPr>
        <w:t>5.</w:t>
      </w:r>
      <w:r>
        <w:rPr>
          <w:rFonts w:hint="eastAsia" w:asciiTheme="minorEastAsia" w:hAnsiTheme="minorEastAsia"/>
          <w:sz w:val="24"/>
          <w:szCs w:val="24"/>
        </w:rPr>
        <w:t>投标方需提供所选用的吊装支架配置及技术性能参数说明等材料。</w:t>
      </w:r>
    </w:p>
    <w:p w14:paraId="143CB384">
      <w:pPr>
        <w:spacing w:line="360" w:lineRule="auto"/>
        <w:ind w:firstLine="480" w:firstLineChars="200"/>
        <w:jc w:val="left"/>
        <w:rPr>
          <w:rFonts w:asciiTheme="minorEastAsia" w:hAnsiTheme="minorEastAsia"/>
          <w:sz w:val="24"/>
          <w:szCs w:val="24"/>
        </w:rPr>
      </w:pPr>
      <w:r>
        <w:rPr>
          <w:rFonts w:asciiTheme="minorEastAsia" w:hAnsiTheme="minorEastAsia"/>
          <w:sz w:val="24"/>
          <w:szCs w:val="24"/>
        </w:rPr>
        <w:t>相关原件备查，便于校核。</w:t>
      </w:r>
    </w:p>
    <w:p w14:paraId="77BF868C">
      <w:pPr>
        <w:spacing w:line="480" w:lineRule="exact"/>
        <w:ind w:right="210" w:rightChars="100" w:firstLine="482" w:firstLineChars="200"/>
        <w:rPr>
          <w:rFonts w:asciiTheme="minorEastAsia" w:hAnsiTheme="minorEastAsia"/>
          <w:b/>
          <w:sz w:val="24"/>
          <w:szCs w:val="24"/>
        </w:rPr>
      </w:pPr>
      <w:r>
        <w:rPr>
          <w:rFonts w:hint="eastAsia" w:asciiTheme="minorEastAsia" w:hAnsiTheme="minorEastAsia"/>
          <w:b/>
          <w:sz w:val="24"/>
          <w:szCs w:val="24"/>
        </w:rPr>
        <w:t>五、付款方式及质保要求</w:t>
      </w:r>
    </w:p>
    <w:p w14:paraId="0999A086">
      <w:pPr>
        <w:spacing w:line="480" w:lineRule="exact"/>
        <w:ind w:firstLine="480" w:firstLineChars="200"/>
        <w:rPr>
          <w:rFonts w:asciiTheme="minorEastAsia" w:hAnsiTheme="minorEastAsia"/>
          <w:sz w:val="24"/>
          <w:szCs w:val="24"/>
        </w:rPr>
      </w:pPr>
      <w:r>
        <w:rPr>
          <w:rFonts w:hint="eastAsia" w:asciiTheme="minorEastAsia" w:hAnsiTheme="minorEastAsia"/>
          <w:sz w:val="24"/>
          <w:szCs w:val="24"/>
        </w:rPr>
        <w:t>1、设备安装经招标方验收合格后，招标方支付合同总价的95%，剩余 5%为质保金，质保期满后付清。</w:t>
      </w:r>
    </w:p>
    <w:p w14:paraId="65AFEB4D">
      <w:pPr>
        <w:autoSpaceDE w:val="0"/>
        <w:autoSpaceDN w:val="0"/>
        <w:adjustRightInd w:val="0"/>
        <w:spacing w:line="480" w:lineRule="exact"/>
        <w:ind w:firstLine="480" w:firstLineChars="200"/>
        <w:rPr>
          <w:rFonts w:asciiTheme="minorEastAsia" w:hAnsiTheme="minorEastAsia"/>
          <w:sz w:val="24"/>
          <w:szCs w:val="24"/>
        </w:rPr>
      </w:pPr>
      <w:r>
        <w:rPr>
          <w:rFonts w:hint="eastAsia" w:asciiTheme="minorEastAsia" w:hAnsiTheme="minorEastAsia"/>
          <w:sz w:val="24"/>
          <w:szCs w:val="24"/>
        </w:rPr>
        <w:t>2、采购安装项目</w:t>
      </w:r>
      <w:r>
        <w:rPr>
          <w:rFonts w:asciiTheme="minorEastAsia" w:hAnsiTheme="minorEastAsia"/>
          <w:sz w:val="24"/>
          <w:szCs w:val="24"/>
        </w:rPr>
        <w:t>完成后质保期为</w:t>
      </w:r>
      <w:r>
        <w:rPr>
          <w:rFonts w:hint="eastAsia" w:asciiTheme="minorEastAsia" w:hAnsiTheme="minorEastAsia"/>
          <w:sz w:val="24"/>
          <w:szCs w:val="24"/>
        </w:rPr>
        <w:t>1年</w:t>
      </w:r>
      <w:r>
        <w:rPr>
          <w:rFonts w:asciiTheme="minorEastAsia" w:hAnsiTheme="minorEastAsia"/>
          <w:sz w:val="24"/>
          <w:szCs w:val="24"/>
        </w:rPr>
        <w:t>，质保期从</w:t>
      </w:r>
      <w:r>
        <w:rPr>
          <w:rFonts w:hint="eastAsia" w:asciiTheme="minorEastAsia" w:hAnsiTheme="minorEastAsia"/>
          <w:sz w:val="24"/>
          <w:szCs w:val="24"/>
        </w:rPr>
        <w:t>设备安装验收合格之日起计算。</w:t>
      </w:r>
    </w:p>
    <w:p w14:paraId="28E2D2C6">
      <w:pPr>
        <w:spacing w:line="480" w:lineRule="exact"/>
        <w:ind w:firstLine="480" w:firstLineChars="200"/>
        <w:rPr>
          <w:rFonts w:asciiTheme="minorEastAsia" w:hAnsiTheme="minorEastAsia"/>
          <w:sz w:val="24"/>
          <w:szCs w:val="24"/>
        </w:rPr>
      </w:pPr>
      <w:r>
        <w:rPr>
          <w:rFonts w:hint="eastAsia" w:asciiTheme="minorEastAsia" w:hAnsiTheme="minorEastAsia"/>
          <w:sz w:val="24"/>
          <w:szCs w:val="24"/>
        </w:rPr>
        <w:t>3、</w:t>
      </w:r>
      <w:r>
        <w:rPr>
          <w:rFonts w:asciiTheme="minorEastAsia" w:hAnsiTheme="minorEastAsia"/>
          <w:sz w:val="24"/>
          <w:szCs w:val="24"/>
        </w:rPr>
        <w:t>在质保期内如出现因</w:t>
      </w:r>
      <w:r>
        <w:rPr>
          <w:rFonts w:hint="eastAsia" w:asciiTheme="minorEastAsia" w:hAnsiTheme="minorEastAsia"/>
          <w:sz w:val="24"/>
          <w:szCs w:val="24"/>
        </w:rPr>
        <w:t>设备</w:t>
      </w:r>
      <w:r>
        <w:rPr>
          <w:rFonts w:asciiTheme="minorEastAsia" w:hAnsiTheme="minorEastAsia"/>
          <w:sz w:val="24"/>
          <w:szCs w:val="24"/>
        </w:rPr>
        <w:t>质量问题或者更换部件造成的</w:t>
      </w:r>
      <w:r>
        <w:rPr>
          <w:rFonts w:hint="eastAsia" w:asciiTheme="minorEastAsia" w:hAnsiTheme="minorEastAsia"/>
          <w:sz w:val="24"/>
          <w:szCs w:val="24"/>
        </w:rPr>
        <w:t>设备</w:t>
      </w:r>
      <w:r>
        <w:rPr>
          <w:rFonts w:asciiTheme="minorEastAsia" w:hAnsiTheme="minorEastAsia"/>
          <w:sz w:val="24"/>
          <w:szCs w:val="24"/>
        </w:rPr>
        <w:t>故障引起的返工维修或更换，返工所发生的费用由</w:t>
      </w:r>
      <w:r>
        <w:rPr>
          <w:rFonts w:hint="eastAsia" w:asciiTheme="minorEastAsia" w:hAnsiTheme="minorEastAsia"/>
          <w:sz w:val="24"/>
          <w:szCs w:val="24"/>
        </w:rPr>
        <w:t>中标人</w:t>
      </w:r>
      <w:r>
        <w:rPr>
          <w:rFonts w:asciiTheme="minorEastAsia" w:hAnsiTheme="minorEastAsia"/>
          <w:sz w:val="24"/>
          <w:szCs w:val="24"/>
        </w:rPr>
        <w:t>承担</w:t>
      </w:r>
      <w:r>
        <w:rPr>
          <w:rFonts w:hint="eastAsia" w:asciiTheme="minorEastAsia" w:hAnsiTheme="minorEastAsia"/>
          <w:sz w:val="24"/>
          <w:szCs w:val="24"/>
        </w:rPr>
        <w:t>。</w:t>
      </w:r>
    </w:p>
    <w:p w14:paraId="20BCBBB1">
      <w:pPr>
        <w:spacing w:line="360" w:lineRule="auto"/>
        <w:ind w:firstLine="482" w:firstLineChars="200"/>
        <w:jc w:val="left"/>
        <w:rPr>
          <w:rFonts w:asciiTheme="minorEastAsia" w:hAnsiTheme="minorEastAsia"/>
          <w:sz w:val="24"/>
          <w:szCs w:val="24"/>
        </w:rPr>
      </w:pPr>
      <w:r>
        <w:rPr>
          <w:rFonts w:hint="eastAsia" w:asciiTheme="minorEastAsia" w:hAnsiTheme="minorEastAsia"/>
          <w:b/>
          <w:sz w:val="24"/>
          <w:szCs w:val="24"/>
        </w:rPr>
        <w:t>六.中标模式：</w:t>
      </w:r>
      <w:r>
        <w:rPr>
          <w:rFonts w:hint="eastAsia" w:asciiTheme="minorEastAsia" w:hAnsiTheme="minorEastAsia"/>
          <w:sz w:val="24"/>
          <w:szCs w:val="24"/>
        </w:rPr>
        <w:t>最低价中标。</w:t>
      </w:r>
    </w:p>
    <w:p w14:paraId="03792CE7">
      <w:pPr>
        <w:spacing w:line="360" w:lineRule="auto"/>
        <w:ind w:firstLine="482" w:firstLineChars="200"/>
        <w:jc w:val="left"/>
        <w:rPr>
          <w:rFonts w:asciiTheme="minorEastAsia" w:hAnsiTheme="minorEastAsia"/>
          <w:sz w:val="24"/>
          <w:szCs w:val="24"/>
        </w:rPr>
      </w:pPr>
      <w:r>
        <w:rPr>
          <w:rFonts w:hint="eastAsia" w:asciiTheme="minorEastAsia" w:hAnsiTheme="minorEastAsia"/>
          <w:b/>
          <w:sz w:val="24"/>
          <w:szCs w:val="24"/>
        </w:rPr>
        <w:t>七.合同签订：</w:t>
      </w:r>
      <w:r>
        <w:rPr>
          <w:rFonts w:hint="eastAsia" w:asciiTheme="minorEastAsia" w:hAnsiTheme="minorEastAsia"/>
          <w:sz w:val="24"/>
          <w:szCs w:val="24"/>
        </w:rPr>
        <w:t>若贵单位中标，我方将通知贵单位签订后续合同。</w:t>
      </w:r>
    </w:p>
    <w:p w14:paraId="5ABC44DA">
      <w:pPr>
        <w:spacing w:line="360" w:lineRule="auto"/>
        <w:ind w:firstLine="482" w:firstLineChars="200"/>
        <w:rPr>
          <w:rFonts w:ascii="宋体" w:hAnsi="宋体" w:cs="仿宋"/>
          <w:b/>
          <w:sz w:val="24"/>
          <w:szCs w:val="24"/>
        </w:rPr>
      </w:pPr>
      <w:r>
        <w:rPr>
          <w:rFonts w:hint="eastAsia" w:ascii="宋体" w:hAnsi="宋体" w:cs="仿宋"/>
          <w:b/>
          <w:sz w:val="24"/>
          <w:szCs w:val="24"/>
        </w:rPr>
        <w:t>八</w:t>
      </w:r>
      <w:r>
        <w:rPr>
          <w:rFonts w:ascii="宋体" w:hAnsi="宋体" w:cs="仿宋"/>
          <w:b/>
          <w:sz w:val="24"/>
          <w:szCs w:val="24"/>
        </w:rPr>
        <w:t>、投标文件的</w:t>
      </w:r>
      <w:r>
        <w:rPr>
          <w:rFonts w:hint="eastAsia" w:ascii="宋体" w:hAnsi="宋体" w:cs="仿宋"/>
          <w:b/>
          <w:sz w:val="24"/>
          <w:szCs w:val="24"/>
        </w:rPr>
        <w:t>中标、</w:t>
      </w:r>
      <w:r>
        <w:rPr>
          <w:rFonts w:ascii="宋体" w:hAnsi="宋体" w:cs="仿宋"/>
          <w:b/>
          <w:sz w:val="24"/>
          <w:szCs w:val="24"/>
        </w:rPr>
        <w:t>提交方式、时间及地点</w:t>
      </w:r>
    </w:p>
    <w:p w14:paraId="03AA3C1C">
      <w:pPr>
        <w:spacing w:line="360" w:lineRule="auto"/>
        <w:ind w:firstLine="480" w:firstLineChars="200"/>
        <w:rPr>
          <w:rFonts w:ascii="宋体" w:hAnsi="宋体" w:cs="仿宋"/>
          <w:sz w:val="24"/>
          <w:szCs w:val="24"/>
        </w:rPr>
      </w:pPr>
      <w:r>
        <w:rPr>
          <w:rFonts w:hint="eastAsia" w:ascii="宋体" w:hAnsi="宋体" w:cs="仿宋"/>
          <w:sz w:val="24"/>
          <w:szCs w:val="24"/>
        </w:rPr>
        <w:t>1</w:t>
      </w:r>
      <w:r>
        <w:rPr>
          <w:rFonts w:ascii="宋体" w:hAnsi="宋体" w:cs="仿宋"/>
          <w:sz w:val="24"/>
          <w:szCs w:val="24"/>
        </w:rPr>
        <w:t>、提交方式：</w:t>
      </w:r>
      <w:r>
        <w:rPr>
          <w:rFonts w:hint="eastAsia" w:ascii="宋体" w:hAnsi="宋体" w:cs="仿宋"/>
          <w:sz w:val="24"/>
          <w:szCs w:val="24"/>
        </w:rPr>
        <w:t>投标文件必须按要求密封</w:t>
      </w:r>
      <w:r>
        <w:rPr>
          <w:rFonts w:ascii="宋体" w:hAnsi="宋体" w:cs="仿宋"/>
          <w:sz w:val="24"/>
          <w:szCs w:val="24"/>
        </w:rPr>
        <w:t>，并</w:t>
      </w:r>
      <w:r>
        <w:rPr>
          <w:rFonts w:hint="eastAsia" w:ascii="宋体" w:hAnsi="宋体" w:cs="仿宋"/>
          <w:sz w:val="24"/>
          <w:szCs w:val="24"/>
        </w:rPr>
        <w:t>将纸质投标文件</w:t>
      </w:r>
      <w:r>
        <w:rPr>
          <w:rFonts w:ascii="宋体" w:hAnsi="宋体" w:cs="仿宋"/>
          <w:sz w:val="24"/>
          <w:szCs w:val="24"/>
        </w:rPr>
        <w:t>直接送达</w:t>
      </w:r>
      <w:r>
        <w:rPr>
          <w:rFonts w:hint="eastAsia" w:ascii="宋体" w:hAnsi="宋体" w:cs="仿宋"/>
          <w:sz w:val="24"/>
          <w:szCs w:val="24"/>
        </w:rPr>
        <w:t>，送达后需填写《项目报名登记表》，</w:t>
      </w:r>
      <w:bookmarkStart w:id="0" w:name="_Hlk159593839"/>
      <w:r>
        <w:rPr>
          <w:rFonts w:hint="eastAsia" w:ascii="宋体" w:hAnsi="宋体" w:cs="仿宋"/>
          <w:sz w:val="24"/>
          <w:szCs w:val="24"/>
        </w:rPr>
        <w:t>采取邮寄送达的投标方需待文件到达后及时电话联系我单位联系人，填写《项目报名登记表》。</w:t>
      </w:r>
      <w:bookmarkEnd w:id="0"/>
    </w:p>
    <w:p w14:paraId="34D0BAA4">
      <w:pPr>
        <w:spacing w:line="360" w:lineRule="auto"/>
        <w:ind w:firstLine="480" w:firstLineChars="200"/>
        <w:rPr>
          <w:rFonts w:ascii="宋体" w:hAnsi="宋体" w:cs="仿宋"/>
          <w:sz w:val="24"/>
          <w:szCs w:val="24"/>
        </w:rPr>
      </w:pPr>
      <w:r>
        <w:rPr>
          <w:rFonts w:hint="eastAsia" w:ascii="宋体" w:hAnsi="宋体" w:cs="仿宋"/>
          <w:sz w:val="24"/>
          <w:szCs w:val="24"/>
        </w:rPr>
        <w:t>2</w:t>
      </w:r>
      <w:r>
        <w:rPr>
          <w:rFonts w:ascii="宋体" w:hAnsi="宋体" w:cs="仿宋"/>
          <w:sz w:val="24"/>
          <w:szCs w:val="24"/>
        </w:rPr>
        <w:t>、提交地点：扬州洁源环境股份有限公司</w:t>
      </w:r>
      <w:r>
        <w:rPr>
          <w:rFonts w:hint="eastAsia" w:ascii="宋体" w:hAnsi="宋体" w:cs="仿宋"/>
          <w:sz w:val="24"/>
          <w:szCs w:val="24"/>
        </w:rPr>
        <w:t>物资采购处</w:t>
      </w:r>
    </w:p>
    <w:p w14:paraId="4694EF75">
      <w:pPr>
        <w:spacing w:line="360" w:lineRule="auto"/>
        <w:ind w:firstLine="480" w:firstLineChars="200"/>
        <w:rPr>
          <w:rFonts w:ascii="宋体" w:hAnsi="宋体" w:cs="仿宋"/>
          <w:sz w:val="24"/>
          <w:szCs w:val="24"/>
        </w:rPr>
      </w:pPr>
      <w:r>
        <w:rPr>
          <w:rFonts w:hint="eastAsia" w:ascii="宋体" w:hAnsi="宋体" w:cs="仿宋"/>
          <w:sz w:val="24"/>
          <w:szCs w:val="24"/>
        </w:rPr>
        <w:t>3</w:t>
      </w:r>
      <w:r>
        <w:rPr>
          <w:rFonts w:ascii="宋体" w:hAnsi="宋体" w:cs="仿宋"/>
          <w:sz w:val="24"/>
          <w:szCs w:val="24"/>
        </w:rPr>
        <w:t>、联系人：</w:t>
      </w:r>
      <w:r>
        <w:rPr>
          <w:rFonts w:hint="eastAsia" w:ascii="宋体" w:hAnsi="宋体" w:cs="仿宋"/>
          <w:sz w:val="24"/>
          <w:szCs w:val="24"/>
        </w:rPr>
        <w:t>董石语</w:t>
      </w:r>
      <w:r>
        <w:rPr>
          <w:rFonts w:ascii="宋体" w:hAnsi="宋体" w:cs="仿宋"/>
          <w:sz w:val="24"/>
          <w:szCs w:val="24"/>
        </w:rPr>
        <w:t>   联系电话：</w:t>
      </w:r>
      <w:r>
        <w:rPr>
          <w:rFonts w:hint="eastAsia" w:ascii="宋体" w:hAnsi="宋体" w:cs="仿宋"/>
          <w:sz w:val="24"/>
          <w:szCs w:val="24"/>
        </w:rPr>
        <w:t>13382752557</w:t>
      </w:r>
    </w:p>
    <w:p w14:paraId="07CBA4E5">
      <w:pPr>
        <w:spacing w:line="360" w:lineRule="auto"/>
        <w:ind w:firstLine="480" w:firstLineChars="200"/>
        <w:rPr>
          <w:rFonts w:ascii="宋体" w:hAnsi="宋体" w:cs="仿宋"/>
          <w:sz w:val="24"/>
          <w:szCs w:val="24"/>
        </w:rPr>
      </w:pPr>
      <w:r>
        <w:rPr>
          <w:rFonts w:hint="eastAsia" w:ascii="宋体" w:hAnsi="宋体" w:cs="仿宋"/>
          <w:sz w:val="24"/>
          <w:szCs w:val="24"/>
        </w:rPr>
        <w:t>4</w:t>
      </w:r>
      <w:r>
        <w:rPr>
          <w:rFonts w:ascii="宋体" w:hAnsi="宋体" w:cs="仿宋"/>
          <w:sz w:val="24"/>
          <w:szCs w:val="24"/>
        </w:rPr>
        <w:t>、提交</w:t>
      </w:r>
      <w:r>
        <w:rPr>
          <w:rFonts w:hint="eastAsia" w:ascii="宋体" w:hAnsi="宋体" w:cs="仿宋"/>
          <w:sz w:val="24"/>
          <w:szCs w:val="24"/>
        </w:rPr>
        <w:t>截止</w:t>
      </w:r>
      <w:r>
        <w:rPr>
          <w:rFonts w:ascii="宋体" w:hAnsi="宋体" w:cs="仿宋"/>
          <w:sz w:val="24"/>
          <w:szCs w:val="24"/>
        </w:rPr>
        <w:t>时间：</w:t>
      </w:r>
      <w:r>
        <w:rPr>
          <w:rFonts w:hint="eastAsia" w:ascii="宋体" w:hAnsi="宋体" w:cs="仿宋"/>
          <w:sz w:val="24"/>
          <w:szCs w:val="24"/>
        </w:rPr>
        <w:t xml:space="preserve"> 2025 </w:t>
      </w:r>
      <w:r>
        <w:rPr>
          <w:rFonts w:ascii="宋体" w:hAnsi="宋体" w:cs="仿宋"/>
          <w:sz w:val="24"/>
          <w:szCs w:val="24"/>
        </w:rPr>
        <w:t>年</w:t>
      </w:r>
      <w:r>
        <w:rPr>
          <w:rFonts w:hint="eastAsia" w:ascii="宋体" w:hAnsi="宋体" w:cs="仿宋"/>
          <w:sz w:val="24"/>
          <w:szCs w:val="24"/>
        </w:rPr>
        <w:t>9</w:t>
      </w:r>
      <w:r>
        <w:rPr>
          <w:rFonts w:ascii="宋体" w:hAnsi="宋体" w:cs="仿宋"/>
          <w:sz w:val="24"/>
          <w:szCs w:val="24"/>
        </w:rPr>
        <w:t>月</w:t>
      </w:r>
      <w:r>
        <w:rPr>
          <w:rFonts w:hint="eastAsia" w:ascii="宋体" w:hAnsi="宋体" w:cs="仿宋"/>
          <w:sz w:val="24"/>
          <w:szCs w:val="24"/>
          <w:lang w:val="en-US" w:eastAsia="zh-CN"/>
        </w:rPr>
        <w:t>23</w:t>
      </w:r>
      <w:r>
        <w:rPr>
          <w:rFonts w:ascii="宋体" w:hAnsi="宋体" w:cs="仿宋"/>
          <w:sz w:val="24"/>
          <w:szCs w:val="24"/>
        </w:rPr>
        <w:t>日</w:t>
      </w:r>
      <w:r>
        <w:rPr>
          <w:rFonts w:hint="eastAsia" w:ascii="宋体" w:hAnsi="宋体" w:cs="仿宋"/>
          <w:sz w:val="24"/>
          <w:szCs w:val="24"/>
        </w:rPr>
        <w:t>上午1</w:t>
      </w:r>
      <w:r>
        <w:rPr>
          <w:rFonts w:ascii="宋体" w:hAnsi="宋体" w:cs="仿宋"/>
          <w:sz w:val="24"/>
          <w:szCs w:val="24"/>
        </w:rPr>
        <w:t>1</w:t>
      </w:r>
      <w:r>
        <w:rPr>
          <w:rFonts w:hint="eastAsia" w:ascii="宋体" w:hAnsi="宋体" w:cs="仿宋"/>
          <w:sz w:val="24"/>
          <w:szCs w:val="24"/>
        </w:rPr>
        <w:t>:</w:t>
      </w:r>
      <w:r>
        <w:rPr>
          <w:rFonts w:ascii="宋体" w:hAnsi="宋体" w:cs="仿宋"/>
          <w:sz w:val="24"/>
          <w:szCs w:val="24"/>
        </w:rPr>
        <w:t>30前</w:t>
      </w:r>
      <w:r>
        <w:rPr>
          <w:rFonts w:hint="eastAsia" w:ascii="宋体" w:hAnsi="宋体" w:cs="仿宋"/>
          <w:sz w:val="24"/>
          <w:szCs w:val="24"/>
        </w:rPr>
        <w:t>将纸质投标文件邮寄</w:t>
      </w:r>
    </w:p>
    <w:p w14:paraId="5AB33917">
      <w:pPr>
        <w:spacing w:line="360" w:lineRule="auto"/>
        <w:rPr>
          <w:rFonts w:ascii="宋体" w:hAnsi="宋体" w:cs="仿宋"/>
          <w:sz w:val="24"/>
          <w:szCs w:val="24"/>
        </w:rPr>
      </w:pPr>
      <w:r>
        <w:rPr>
          <w:rFonts w:hint="eastAsia" w:ascii="宋体" w:hAnsi="宋体" w:cs="仿宋"/>
          <w:sz w:val="24"/>
          <w:szCs w:val="24"/>
        </w:rPr>
        <w:t>或送达我单位，超过投标截止时间送达的文件不予接受</w:t>
      </w:r>
      <w:bookmarkStart w:id="1" w:name="_Hlk159593848"/>
      <w:r>
        <w:rPr>
          <w:rFonts w:hint="eastAsia" w:ascii="宋体" w:hAnsi="宋体" w:cs="仿宋"/>
          <w:sz w:val="24"/>
          <w:szCs w:val="24"/>
        </w:rPr>
        <w:t>（采用邮寄方式的以我单位签收时间为准）</w:t>
      </w:r>
      <w:bookmarkEnd w:id="1"/>
      <w:r>
        <w:rPr>
          <w:rFonts w:ascii="宋体" w:hAnsi="宋体" w:cs="仿宋"/>
          <w:sz w:val="24"/>
          <w:szCs w:val="24"/>
        </w:rPr>
        <w:t>。</w:t>
      </w:r>
      <w:bookmarkStart w:id="2" w:name="_GoBack"/>
      <w:bookmarkEnd w:id="2"/>
    </w:p>
    <w:p w14:paraId="69541580">
      <w:pPr>
        <w:numPr>
          <w:ilvl w:val="0"/>
          <w:numId w:val="2"/>
        </w:numPr>
        <w:spacing w:line="360" w:lineRule="auto"/>
        <w:ind w:firstLine="480" w:firstLineChars="200"/>
        <w:jc w:val="left"/>
        <w:rPr>
          <w:rFonts w:hint="eastAsia" w:ascii="仿宋_GB2312" w:hAnsi="宋体" w:eastAsia="仿宋_GB2312" w:cs="宋体"/>
          <w:bCs/>
          <w:kern w:val="0"/>
          <w:sz w:val="28"/>
          <w:szCs w:val="28"/>
        </w:rPr>
      </w:pPr>
      <w:r>
        <w:rPr>
          <w:rFonts w:ascii="宋体" w:hAnsi="宋体" w:cs="仿宋"/>
          <w:sz w:val="24"/>
          <w:szCs w:val="24"/>
        </w:rPr>
        <w:t>参加投标企业的文件一概不退，资料封存归档。</w:t>
      </w:r>
      <w:r>
        <w:rPr>
          <w:rFonts w:hint="eastAsia" w:ascii="仿宋_GB2312" w:hAnsi="宋体" w:eastAsia="仿宋_GB2312" w:cs="宋体"/>
          <w:bCs/>
          <w:kern w:val="0"/>
          <w:sz w:val="28"/>
          <w:szCs w:val="28"/>
        </w:rPr>
        <w:t xml:space="preserve">   </w:t>
      </w:r>
    </w:p>
    <w:p w14:paraId="63D31E27">
      <w:pPr>
        <w:rPr>
          <w:rFonts w:hint="eastAsia" w:ascii="仿宋_GB2312" w:hAnsi="宋体" w:eastAsia="仿宋_GB2312" w:cs="宋体"/>
          <w:bCs/>
          <w:kern w:val="0"/>
          <w:sz w:val="28"/>
          <w:szCs w:val="28"/>
        </w:rPr>
      </w:pPr>
      <w:r>
        <w:rPr>
          <w:rFonts w:hint="eastAsia" w:ascii="仿宋_GB2312" w:hAnsi="宋体" w:eastAsia="仿宋_GB2312" w:cs="宋体"/>
          <w:bCs/>
          <w:kern w:val="0"/>
          <w:sz w:val="28"/>
          <w:szCs w:val="28"/>
        </w:rPr>
        <w:br w:type="page"/>
      </w:r>
    </w:p>
    <w:p w14:paraId="40E30D6E">
      <w:pPr>
        <w:numPr>
          <w:numId w:val="0"/>
        </w:numPr>
        <w:spacing w:line="360" w:lineRule="auto"/>
        <w:jc w:val="left"/>
        <w:rPr>
          <w:rFonts w:hint="eastAsia" w:ascii="仿宋_GB2312" w:hAnsi="宋体" w:eastAsia="仿宋_GB2312" w:cs="宋体"/>
          <w:bCs/>
          <w:kern w:val="0"/>
          <w:sz w:val="28"/>
          <w:szCs w:val="28"/>
          <w:lang w:val="en-US" w:eastAsia="zh-CN"/>
        </w:rPr>
      </w:pPr>
      <w:r>
        <w:rPr>
          <w:rFonts w:hint="eastAsia" w:ascii="仿宋_GB2312" w:hAnsi="宋体" w:eastAsia="仿宋_GB2312" w:cs="宋体"/>
          <w:bCs/>
          <w:kern w:val="0"/>
          <w:sz w:val="28"/>
          <w:szCs w:val="28"/>
          <w:lang w:val="en-US" w:eastAsia="zh-CN"/>
        </w:rPr>
        <w:t>附件1：</w:t>
      </w:r>
    </w:p>
    <w:p w14:paraId="5B9F6E1F">
      <w:pPr>
        <w:rPr>
          <w:rFonts w:hint="eastAsia" w:ascii="仿宋_GB2312" w:hAnsi="宋体" w:eastAsia="仿宋_GB2312" w:cs="宋体"/>
          <w:bCs/>
          <w:kern w:val="0"/>
          <w:sz w:val="28"/>
          <w:szCs w:val="28"/>
          <w:lang w:val="en-US" w:eastAsia="zh-CN"/>
        </w:rPr>
      </w:pPr>
      <w:r>
        <w:rPr>
          <w:rFonts w:hint="eastAsia" w:ascii="仿宋_GB2312" w:hAnsi="宋体" w:eastAsia="仿宋_GB2312" w:cs="宋体"/>
          <w:bCs/>
          <w:kern w:val="0"/>
          <w:sz w:val="28"/>
          <w:szCs w:val="28"/>
          <w:lang w:val="en-US" w:eastAsia="zh-CN"/>
        </w:rPr>
        <w:t>汤汪厂现场图</w:t>
      </w:r>
    </w:p>
    <w:p w14:paraId="3E15D1D0">
      <w:pPr>
        <w:rPr>
          <w:rFonts w:hint="eastAsia" w:ascii="仿宋_GB2312" w:hAnsi="宋体" w:eastAsia="仿宋_GB2312" w:cs="宋体"/>
          <w:bCs/>
          <w:kern w:val="0"/>
          <w:sz w:val="28"/>
          <w:szCs w:val="28"/>
          <w:lang w:val="en-US" w:eastAsia="zh-CN"/>
        </w:rPr>
      </w:pPr>
      <w:r>
        <w:rPr>
          <w:rFonts w:hint="eastAsia" w:ascii="仿宋_GB2312" w:hAnsi="宋体" w:eastAsia="仿宋_GB2312" w:cs="宋体"/>
          <w:bCs/>
          <w:kern w:val="0"/>
          <w:sz w:val="28"/>
          <w:szCs w:val="28"/>
          <w:lang w:val="en-US" w:eastAsia="zh-CN"/>
        </w:rPr>
        <w:drawing>
          <wp:inline distT="0" distB="0" distL="114300" distR="114300">
            <wp:extent cx="2598420" cy="3613150"/>
            <wp:effectExtent l="0" t="0" r="11430" b="6350"/>
            <wp:docPr id="3" name="图片 3" descr="9b52959d9a1225fecfdf6afd2e3733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9b52959d9a1225fecfdf6afd2e3733bb"/>
                    <pic:cNvPicPr>
                      <a:picLocks noChangeAspect="1"/>
                    </pic:cNvPicPr>
                  </pic:nvPicPr>
                  <pic:blipFill>
                    <a:blip r:embed="rId4"/>
                    <a:srcRect t="10318" r="2124" b="13077"/>
                    <a:stretch>
                      <a:fillRect/>
                    </a:stretch>
                  </pic:blipFill>
                  <pic:spPr>
                    <a:xfrm>
                      <a:off x="0" y="0"/>
                      <a:ext cx="2598420" cy="3613150"/>
                    </a:xfrm>
                    <a:prstGeom prst="rect">
                      <a:avLst/>
                    </a:prstGeom>
                  </pic:spPr>
                </pic:pic>
              </a:graphicData>
            </a:graphic>
          </wp:inline>
        </w:drawing>
      </w:r>
      <w:r>
        <w:rPr>
          <w:rFonts w:hint="eastAsia" w:ascii="仿宋_GB2312" w:hAnsi="宋体" w:eastAsia="仿宋_GB2312" w:cs="宋体"/>
          <w:bCs/>
          <w:kern w:val="0"/>
          <w:sz w:val="28"/>
          <w:szCs w:val="28"/>
          <w:lang w:val="en-US" w:eastAsia="zh-CN"/>
        </w:rPr>
        <w:drawing>
          <wp:inline distT="0" distB="0" distL="114300" distR="114300">
            <wp:extent cx="2632075" cy="3611880"/>
            <wp:effectExtent l="0" t="0" r="15875" b="7620"/>
            <wp:docPr id="4" name="图片 4" descr="e5266a76317717c7b7d3b89acfe0fc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5266a76317717c7b7d3b89acfe0fcd4"/>
                    <pic:cNvPicPr>
                      <a:picLocks noChangeAspect="1"/>
                    </pic:cNvPicPr>
                  </pic:nvPicPr>
                  <pic:blipFill>
                    <a:blip r:embed="rId5"/>
                    <a:srcRect t="8403" r="-89" b="14302"/>
                    <a:stretch>
                      <a:fillRect/>
                    </a:stretch>
                  </pic:blipFill>
                  <pic:spPr>
                    <a:xfrm>
                      <a:off x="0" y="0"/>
                      <a:ext cx="2632075" cy="3611880"/>
                    </a:xfrm>
                    <a:prstGeom prst="rect">
                      <a:avLst/>
                    </a:prstGeom>
                  </pic:spPr>
                </pic:pic>
              </a:graphicData>
            </a:graphic>
          </wp:inline>
        </w:drawing>
      </w:r>
    </w:p>
    <w:p w14:paraId="59318BA9">
      <w:pPr>
        <w:rPr>
          <w:rFonts w:hint="eastAsia" w:ascii="仿宋_GB2312" w:hAnsi="宋体" w:eastAsia="仿宋_GB2312" w:cs="宋体"/>
          <w:bCs/>
          <w:kern w:val="0"/>
          <w:sz w:val="28"/>
          <w:szCs w:val="28"/>
          <w:lang w:val="en-US" w:eastAsia="zh-CN"/>
        </w:rPr>
      </w:pPr>
      <w:r>
        <w:rPr>
          <w:rFonts w:hint="eastAsia" w:ascii="仿宋_GB2312" w:hAnsi="宋体" w:eastAsia="仿宋_GB2312" w:cs="宋体"/>
          <w:bCs/>
          <w:kern w:val="0"/>
          <w:sz w:val="28"/>
          <w:szCs w:val="28"/>
          <w:lang w:val="en-US" w:eastAsia="zh-CN"/>
        </w:rPr>
        <w:t>六圩厂现场图</w:t>
      </w:r>
    </w:p>
    <w:p w14:paraId="0856068D">
      <w:pPr>
        <w:rPr>
          <w:rFonts w:hint="default" w:ascii="仿宋_GB2312" w:hAnsi="宋体" w:eastAsia="仿宋_GB2312" w:cs="宋体"/>
          <w:bCs/>
          <w:kern w:val="0"/>
          <w:sz w:val="28"/>
          <w:szCs w:val="28"/>
          <w:lang w:val="en-US" w:eastAsia="zh-CN"/>
        </w:rPr>
      </w:pPr>
      <w:r>
        <w:rPr>
          <w:rFonts w:hint="default" w:ascii="仿宋_GB2312" w:hAnsi="宋体" w:eastAsia="仿宋_GB2312" w:cs="宋体"/>
          <w:bCs/>
          <w:kern w:val="0"/>
          <w:sz w:val="28"/>
          <w:szCs w:val="28"/>
          <w:lang w:val="en-US" w:eastAsia="zh-CN"/>
        </w:rPr>
        <w:drawing>
          <wp:inline distT="0" distB="0" distL="114300" distR="114300">
            <wp:extent cx="2590165" cy="3453130"/>
            <wp:effectExtent l="0" t="0" r="635" b="13970"/>
            <wp:docPr id="2" name="图片 2" descr="吊架底座插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吊架底座插口"/>
                    <pic:cNvPicPr>
                      <a:picLocks noChangeAspect="1"/>
                    </pic:cNvPicPr>
                  </pic:nvPicPr>
                  <pic:blipFill>
                    <a:blip r:embed="rId6"/>
                    <a:stretch>
                      <a:fillRect/>
                    </a:stretch>
                  </pic:blipFill>
                  <pic:spPr>
                    <a:xfrm>
                      <a:off x="0" y="0"/>
                      <a:ext cx="2590165" cy="3453130"/>
                    </a:xfrm>
                    <a:prstGeom prst="rect">
                      <a:avLst/>
                    </a:prstGeom>
                  </pic:spPr>
                </pic:pic>
              </a:graphicData>
            </a:graphic>
          </wp:inline>
        </w:drawing>
      </w:r>
      <w:r>
        <w:rPr>
          <w:rFonts w:hint="eastAsia" w:ascii="仿宋_GB2312" w:hAnsi="宋体" w:eastAsia="仿宋_GB2312" w:cs="宋体"/>
          <w:bCs/>
          <w:kern w:val="0"/>
          <w:sz w:val="28"/>
          <w:szCs w:val="28"/>
          <w:lang w:val="en-US" w:eastAsia="zh-CN"/>
        </w:rPr>
        <w:t xml:space="preserve"> </w:t>
      </w:r>
      <w:r>
        <w:rPr>
          <w:rFonts w:hint="default" w:ascii="仿宋_GB2312" w:hAnsi="宋体" w:eastAsia="仿宋_GB2312" w:cs="宋体"/>
          <w:bCs/>
          <w:kern w:val="0"/>
          <w:sz w:val="28"/>
          <w:szCs w:val="28"/>
          <w:lang w:val="en-US" w:eastAsia="zh-CN"/>
        </w:rPr>
        <w:drawing>
          <wp:inline distT="0" distB="0" distL="114300" distR="114300">
            <wp:extent cx="2578100" cy="3452495"/>
            <wp:effectExtent l="0" t="0" r="12700" b="14605"/>
            <wp:docPr id="1" name="图片 1" descr="六圩吊架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六圩吊架尺寸"/>
                    <pic:cNvPicPr>
                      <a:picLocks noChangeAspect="1"/>
                    </pic:cNvPicPr>
                  </pic:nvPicPr>
                  <pic:blipFill>
                    <a:blip r:embed="rId7"/>
                    <a:stretch>
                      <a:fillRect/>
                    </a:stretch>
                  </pic:blipFill>
                  <pic:spPr>
                    <a:xfrm>
                      <a:off x="0" y="0"/>
                      <a:ext cx="2578100" cy="345249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lvlText w:val="%1"/>
      <w:lvlJc w:val="left"/>
      <w:pPr>
        <w:tabs>
          <w:tab w:val="left" w:pos="0"/>
        </w:tabs>
        <w:ind w:left="0" w:firstLine="0"/>
      </w:pPr>
      <w:rPr>
        <w:rFonts w:hint="eastAsia"/>
      </w:rPr>
    </w:lvl>
    <w:lvl w:ilvl="1" w:tentative="0">
      <w:start w:val="1"/>
      <w:numFmt w:val="decimal"/>
      <w:pStyle w:val="3"/>
      <w:lvlText w:val="1.%2"/>
      <w:lvlJc w:val="left"/>
      <w:pPr>
        <w:tabs>
          <w:tab w:val="left" w:pos="360"/>
        </w:tabs>
        <w:ind w:left="0" w:firstLine="0"/>
      </w:pPr>
      <w:rPr>
        <w:rFonts w:hint="eastAsia"/>
      </w:rPr>
    </w:lvl>
    <w:lvl w:ilvl="2" w:tentative="0">
      <w:start w:val="1"/>
      <w:numFmt w:val="decimal"/>
      <w:pStyle w:val="4"/>
      <w:lvlText w:val="1.%2.%3"/>
      <w:lvlJc w:val="left"/>
      <w:pPr>
        <w:tabs>
          <w:tab w:val="left" w:pos="1287"/>
        </w:tabs>
        <w:ind w:left="567" w:firstLine="0"/>
      </w:pPr>
      <w:rPr>
        <w:rFonts w:hint="eastAsia"/>
      </w:rPr>
    </w:lvl>
    <w:lvl w:ilvl="3" w:tentative="0">
      <w:start w:val="1"/>
      <w:numFmt w:val="decimal"/>
      <w:pStyle w:val="5"/>
      <w:lvlText w:val="%1.%2.%3.%4"/>
      <w:lvlJc w:val="left"/>
      <w:pPr>
        <w:tabs>
          <w:tab w:val="left" w:pos="0"/>
        </w:tabs>
        <w:ind w:left="0" w:firstLine="0"/>
      </w:pPr>
      <w:rPr>
        <w:rFonts w:hint="eastAsia"/>
      </w:rPr>
    </w:lvl>
    <w:lvl w:ilvl="4" w:tentative="0">
      <w:start w:val="1"/>
      <w:numFmt w:val="decimal"/>
      <w:pStyle w:val="6"/>
      <w:lvlText w:val="(%5)"/>
      <w:lvlJc w:val="left"/>
      <w:pPr>
        <w:tabs>
          <w:tab w:val="left" w:pos="480"/>
        </w:tabs>
        <w:ind w:left="480" w:firstLine="0"/>
      </w:pPr>
      <w:rPr>
        <w:rFonts w:hint="eastAsia"/>
      </w:rPr>
    </w:lvl>
    <w:lvl w:ilvl="5" w:tentative="0">
      <w:start w:val="1"/>
      <w:numFmt w:val="decimal"/>
      <w:pStyle w:val="7"/>
      <w:lvlText w:val="%6)"/>
      <w:lvlJc w:val="left"/>
      <w:pPr>
        <w:tabs>
          <w:tab w:val="left" w:pos="0"/>
        </w:tabs>
        <w:ind w:left="0" w:firstLine="0"/>
      </w:pPr>
      <w:rPr>
        <w:rFonts w:hint="eastAsia"/>
      </w:rPr>
    </w:lvl>
    <w:lvl w:ilvl="6" w:tentative="0">
      <w:start w:val="1"/>
      <w:numFmt w:val="lowerLetter"/>
      <w:pStyle w:val="8"/>
      <w:lvlText w:val="(%7)"/>
      <w:lvlJc w:val="left"/>
      <w:pPr>
        <w:tabs>
          <w:tab w:val="left" w:pos="0"/>
        </w:tabs>
        <w:ind w:left="0" w:firstLine="0"/>
      </w:pPr>
      <w:rPr>
        <w:rFonts w:hint="eastAsia"/>
      </w:rPr>
    </w:lvl>
    <w:lvl w:ilvl="7" w:tentative="0">
      <w:start w:val="1"/>
      <w:numFmt w:val="lowerLetter"/>
      <w:pStyle w:val="9"/>
      <w:lvlText w:val="%8)"/>
      <w:lvlJc w:val="left"/>
      <w:pPr>
        <w:tabs>
          <w:tab w:val="left" w:pos="0"/>
        </w:tabs>
        <w:ind w:left="0" w:firstLine="0"/>
      </w:pPr>
      <w:rPr>
        <w:rFonts w:hint="eastAsia"/>
      </w:rPr>
    </w:lvl>
    <w:lvl w:ilvl="8" w:tentative="0">
      <w:start w:val="1"/>
      <w:numFmt w:val="decimal"/>
      <w:pStyle w:val="10"/>
      <w:lvlText w:val="%8).%9"/>
      <w:lvlJc w:val="left"/>
      <w:pPr>
        <w:tabs>
          <w:tab w:val="left" w:pos="0"/>
        </w:tabs>
        <w:ind w:left="0" w:firstLine="0"/>
      </w:pPr>
      <w:rPr>
        <w:rFonts w:hint="eastAsia"/>
      </w:rPr>
    </w:lvl>
  </w:abstractNum>
  <w:abstractNum w:abstractNumId="1">
    <w:nsid w:val="34F89AA9"/>
    <w:multiLevelType w:val="singleLevel"/>
    <w:tmpl w:val="34F89AA9"/>
    <w:lvl w:ilvl="0" w:tentative="0">
      <w:start w:val="5"/>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797"/>
    <w:rsid w:val="00060FF4"/>
    <w:rsid w:val="00064CDD"/>
    <w:rsid w:val="00066814"/>
    <w:rsid w:val="000A0622"/>
    <w:rsid w:val="000A4E37"/>
    <w:rsid w:val="000A6027"/>
    <w:rsid w:val="000E73CC"/>
    <w:rsid w:val="000F0A73"/>
    <w:rsid w:val="000F7D34"/>
    <w:rsid w:val="001059A6"/>
    <w:rsid w:val="00116C20"/>
    <w:rsid w:val="00127ADF"/>
    <w:rsid w:val="0014554E"/>
    <w:rsid w:val="00161253"/>
    <w:rsid w:val="001624E8"/>
    <w:rsid w:val="00176C59"/>
    <w:rsid w:val="00176CC9"/>
    <w:rsid w:val="00180C6E"/>
    <w:rsid w:val="001A7833"/>
    <w:rsid w:val="001C2F68"/>
    <w:rsid w:val="001D1984"/>
    <w:rsid w:val="001D19DC"/>
    <w:rsid w:val="001D681E"/>
    <w:rsid w:val="001E2E72"/>
    <w:rsid w:val="002128B4"/>
    <w:rsid w:val="00276662"/>
    <w:rsid w:val="00294169"/>
    <w:rsid w:val="002A4877"/>
    <w:rsid w:val="002A6AD0"/>
    <w:rsid w:val="002C45B7"/>
    <w:rsid w:val="002D09FD"/>
    <w:rsid w:val="002D73D1"/>
    <w:rsid w:val="002E2F2C"/>
    <w:rsid w:val="003126B0"/>
    <w:rsid w:val="00327A65"/>
    <w:rsid w:val="003332AD"/>
    <w:rsid w:val="003353AE"/>
    <w:rsid w:val="003426A5"/>
    <w:rsid w:val="00355362"/>
    <w:rsid w:val="00375BFC"/>
    <w:rsid w:val="003765BE"/>
    <w:rsid w:val="00380C28"/>
    <w:rsid w:val="0039656C"/>
    <w:rsid w:val="003A0C21"/>
    <w:rsid w:val="003A2AC2"/>
    <w:rsid w:val="003A3500"/>
    <w:rsid w:val="003D2EA9"/>
    <w:rsid w:val="003D4BF6"/>
    <w:rsid w:val="003D7C09"/>
    <w:rsid w:val="003E0ADF"/>
    <w:rsid w:val="003F2C83"/>
    <w:rsid w:val="003F2F0F"/>
    <w:rsid w:val="003F566B"/>
    <w:rsid w:val="0040152A"/>
    <w:rsid w:val="00412C78"/>
    <w:rsid w:val="00413606"/>
    <w:rsid w:val="00414068"/>
    <w:rsid w:val="00416EFC"/>
    <w:rsid w:val="0043252F"/>
    <w:rsid w:val="004328FA"/>
    <w:rsid w:val="004441F3"/>
    <w:rsid w:val="00447341"/>
    <w:rsid w:val="00455215"/>
    <w:rsid w:val="0046094B"/>
    <w:rsid w:val="00463602"/>
    <w:rsid w:val="00464797"/>
    <w:rsid w:val="004848F7"/>
    <w:rsid w:val="00491730"/>
    <w:rsid w:val="004949A6"/>
    <w:rsid w:val="004A167D"/>
    <w:rsid w:val="004A69C5"/>
    <w:rsid w:val="004D2CF6"/>
    <w:rsid w:val="004D38F0"/>
    <w:rsid w:val="004F4908"/>
    <w:rsid w:val="00500467"/>
    <w:rsid w:val="00523B73"/>
    <w:rsid w:val="00527E78"/>
    <w:rsid w:val="00527FDC"/>
    <w:rsid w:val="00541EA7"/>
    <w:rsid w:val="0054616A"/>
    <w:rsid w:val="00552528"/>
    <w:rsid w:val="00552F40"/>
    <w:rsid w:val="00553B81"/>
    <w:rsid w:val="00554897"/>
    <w:rsid w:val="005575E8"/>
    <w:rsid w:val="00582787"/>
    <w:rsid w:val="00582E8E"/>
    <w:rsid w:val="0059528F"/>
    <w:rsid w:val="005A35A2"/>
    <w:rsid w:val="005A3F3E"/>
    <w:rsid w:val="005F0D33"/>
    <w:rsid w:val="005F6E50"/>
    <w:rsid w:val="005F714D"/>
    <w:rsid w:val="00606157"/>
    <w:rsid w:val="00616E91"/>
    <w:rsid w:val="00621001"/>
    <w:rsid w:val="00631141"/>
    <w:rsid w:val="0065733A"/>
    <w:rsid w:val="00680C72"/>
    <w:rsid w:val="006829AF"/>
    <w:rsid w:val="006855BB"/>
    <w:rsid w:val="006C1DA4"/>
    <w:rsid w:val="006D74AD"/>
    <w:rsid w:val="006E06C6"/>
    <w:rsid w:val="007032F3"/>
    <w:rsid w:val="00722F57"/>
    <w:rsid w:val="00723E98"/>
    <w:rsid w:val="00734F15"/>
    <w:rsid w:val="0073520A"/>
    <w:rsid w:val="00753EAA"/>
    <w:rsid w:val="00754401"/>
    <w:rsid w:val="00774490"/>
    <w:rsid w:val="00776CC1"/>
    <w:rsid w:val="00791389"/>
    <w:rsid w:val="007B4272"/>
    <w:rsid w:val="007C6E24"/>
    <w:rsid w:val="007D0644"/>
    <w:rsid w:val="007D70BE"/>
    <w:rsid w:val="007F7A50"/>
    <w:rsid w:val="008050C8"/>
    <w:rsid w:val="00835FCB"/>
    <w:rsid w:val="00846815"/>
    <w:rsid w:val="0087077E"/>
    <w:rsid w:val="00875E5D"/>
    <w:rsid w:val="008817C3"/>
    <w:rsid w:val="00890FD4"/>
    <w:rsid w:val="00891B61"/>
    <w:rsid w:val="00897DD7"/>
    <w:rsid w:val="008C3CB1"/>
    <w:rsid w:val="008C5B84"/>
    <w:rsid w:val="00903263"/>
    <w:rsid w:val="009122B3"/>
    <w:rsid w:val="00916195"/>
    <w:rsid w:val="00924E36"/>
    <w:rsid w:val="00932E4C"/>
    <w:rsid w:val="00934ED5"/>
    <w:rsid w:val="00951763"/>
    <w:rsid w:val="00952900"/>
    <w:rsid w:val="009541F9"/>
    <w:rsid w:val="0096343E"/>
    <w:rsid w:val="009651B6"/>
    <w:rsid w:val="00971ABE"/>
    <w:rsid w:val="00977917"/>
    <w:rsid w:val="009843CD"/>
    <w:rsid w:val="0099031E"/>
    <w:rsid w:val="00994CC9"/>
    <w:rsid w:val="009A7B50"/>
    <w:rsid w:val="009C7B11"/>
    <w:rsid w:val="009D0ED0"/>
    <w:rsid w:val="009D1505"/>
    <w:rsid w:val="009D1913"/>
    <w:rsid w:val="009D24F1"/>
    <w:rsid w:val="009E6EEC"/>
    <w:rsid w:val="00A0144E"/>
    <w:rsid w:val="00A4634C"/>
    <w:rsid w:val="00A52480"/>
    <w:rsid w:val="00A7051C"/>
    <w:rsid w:val="00A75115"/>
    <w:rsid w:val="00A93BF5"/>
    <w:rsid w:val="00AC6C6E"/>
    <w:rsid w:val="00AD4379"/>
    <w:rsid w:val="00AE6E4A"/>
    <w:rsid w:val="00AF2836"/>
    <w:rsid w:val="00AF644C"/>
    <w:rsid w:val="00AF77FD"/>
    <w:rsid w:val="00AF7E83"/>
    <w:rsid w:val="00B00257"/>
    <w:rsid w:val="00B0255F"/>
    <w:rsid w:val="00B130AE"/>
    <w:rsid w:val="00B342EA"/>
    <w:rsid w:val="00B40BF1"/>
    <w:rsid w:val="00B454E2"/>
    <w:rsid w:val="00B5282F"/>
    <w:rsid w:val="00B63191"/>
    <w:rsid w:val="00B64203"/>
    <w:rsid w:val="00B6707F"/>
    <w:rsid w:val="00B71444"/>
    <w:rsid w:val="00B754CD"/>
    <w:rsid w:val="00B85607"/>
    <w:rsid w:val="00B947AD"/>
    <w:rsid w:val="00B95C5B"/>
    <w:rsid w:val="00BB4ACF"/>
    <w:rsid w:val="00BC06DB"/>
    <w:rsid w:val="00BC7052"/>
    <w:rsid w:val="00C06A1E"/>
    <w:rsid w:val="00C22CAF"/>
    <w:rsid w:val="00C34277"/>
    <w:rsid w:val="00C34AAF"/>
    <w:rsid w:val="00C46CD9"/>
    <w:rsid w:val="00C63081"/>
    <w:rsid w:val="00C7037C"/>
    <w:rsid w:val="00C74113"/>
    <w:rsid w:val="00C945F9"/>
    <w:rsid w:val="00C97F2B"/>
    <w:rsid w:val="00CA315C"/>
    <w:rsid w:val="00CB70D2"/>
    <w:rsid w:val="00CC54D0"/>
    <w:rsid w:val="00CD143A"/>
    <w:rsid w:val="00CD574F"/>
    <w:rsid w:val="00CE09EC"/>
    <w:rsid w:val="00CE5E65"/>
    <w:rsid w:val="00CE7FB8"/>
    <w:rsid w:val="00D220F6"/>
    <w:rsid w:val="00D5528A"/>
    <w:rsid w:val="00D61777"/>
    <w:rsid w:val="00D64EE0"/>
    <w:rsid w:val="00D70286"/>
    <w:rsid w:val="00D73FA0"/>
    <w:rsid w:val="00D97B39"/>
    <w:rsid w:val="00D97F8E"/>
    <w:rsid w:val="00DB08AB"/>
    <w:rsid w:val="00DB33CF"/>
    <w:rsid w:val="00DC3CF1"/>
    <w:rsid w:val="00DC5033"/>
    <w:rsid w:val="00DD768B"/>
    <w:rsid w:val="00DE4DA7"/>
    <w:rsid w:val="00E01145"/>
    <w:rsid w:val="00E05027"/>
    <w:rsid w:val="00E05CAE"/>
    <w:rsid w:val="00E358EB"/>
    <w:rsid w:val="00E415CE"/>
    <w:rsid w:val="00E474DE"/>
    <w:rsid w:val="00E670C5"/>
    <w:rsid w:val="00E71FBB"/>
    <w:rsid w:val="00E72F19"/>
    <w:rsid w:val="00E74657"/>
    <w:rsid w:val="00E7495C"/>
    <w:rsid w:val="00E77370"/>
    <w:rsid w:val="00E87326"/>
    <w:rsid w:val="00E90AB8"/>
    <w:rsid w:val="00EA2E41"/>
    <w:rsid w:val="00EA4C57"/>
    <w:rsid w:val="00EA56E3"/>
    <w:rsid w:val="00EB08EA"/>
    <w:rsid w:val="00EB37B7"/>
    <w:rsid w:val="00EE5EBE"/>
    <w:rsid w:val="00EF1C1C"/>
    <w:rsid w:val="00F15BFF"/>
    <w:rsid w:val="00F24A40"/>
    <w:rsid w:val="00F329EF"/>
    <w:rsid w:val="00F608CE"/>
    <w:rsid w:val="00F75536"/>
    <w:rsid w:val="00FB0EE9"/>
    <w:rsid w:val="00FD1712"/>
    <w:rsid w:val="1F781DAD"/>
    <w:rsid w:val="30A070D3"/>
    <w:rsid w:val="356C3F1E"/>
    <w:rsid w:val="49FF2D06"/>
    <w:rsid w:val="58D50C14"/>
    <w:rsid w:val="664145AA"/>
    <w:rsid w:val="69F0452D"/>
    <w:rsid w:val="727F0ABA"/>
    <w:rsid w:val="742A1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qFormat/>
    <w:uiPriority w:val="0"/>
    <w:pPr>
      <w:widowControl/>
      <w:numPr>
        <w:ilvl w:val="1"/>
        <w:numId w:val="1"/>
      </w:numPr>
      <w:adjustRightInd w:val="0"/>
      <w:spacing w:line="460" w:lineRule="exact"/>
      <w:jc w:val="left"/>
      <w:textAlignment w:val="baseline"/>
      <w:outlineLvl w:val="1"/>
    </w:pPr>
    <w:rPr>
      <w:rFonts w:ascii="Times New Roman" w:hAnsi="Times New Roman" w:eastAsia="宋体" w:cs="Times New Roman"/>
      <w:b/>
      <w:kern w:val="0"/>
      <w:sz w:val="24"/>
      <w:szCs w:val="20"/>
    </w:rPr>
  </w:style>
  <w:style w:type="paragraph" w:styleId="4">
    <w:name w:val="heading 3"/>
    <w:basedOn w:val="1"/>
    <w:next w:val="1"/>
    <w:link w:val="26"/>
    <w:qFormat/>
    <w:uiPriority w:val="0"/>
    <w:pPr>
      <w:numPr>
        <w:ilvl w:val="2"/>
        <w:numId w:val="1"/>
      </w:numPr>
      <w:adjustRightInd w:val="0"/>
      <w:spacing w:line="460" w:lineRule="exact"/>
      <w:jc w:val="left"/>
      <w:textAlignment w:val="baseline"/>
      <w:outlineLvl w:val="2"/>
    </w:pPr>
    <w:rPr>
      <w:rFonts w:ascii="Times New Roman" w:hAnsi="Times New Roman" w:eastAsia="宋体" w:cs="Times New Roman"/>
      <w:kern w:val="0"/>
      <w:sz w:val="24"/>
      <w:szCs w:val="20"/>
    </w:rPr>
  </w:style>
  <w:style w:type="paragraph" w:styleId="5">
    <w:name w:val="heading 4"/>
    <w:basedOn w:val="1"/>
    <w:next w:val="1"/>
    <w:link w:val="27"/>
    <w:qFormat/>
    <w:uiPriority w:val="0"/>
    <w:pPr>
      <w:numPr>
        <w:ilvl w:val="3"/>
        <w:numId w:val="1"/>
      </w:numPr>
      <w:adjustRightInd w:val="0"/>
      <w:spacing w:line="460" w:lineRule="exact"/>
      <w:jc w:val="left"/>
      <w:textAlignment w:val="baseline"/>
      <w:outlineLvl w:val="3"/>
    </w:pPr>
    <w:rPr>
      <w:rFonts w:ascii="Times New Roman" w:hAnsi="Times New Roman" w:eastAsia="宋体" w:cs="Times New Roman"/>
      <w:kern w:val="0"/>
      <w:sz w:val="24"/>
      <w:szCs w:val="20"/>
    </w:rPr>
  </w:style>
  <w:style w:type="paragraph" w:styleId="6">
    <w:name w:val="heading 5"/>
    <w:basedOn w:val="1"/>
    <w:link w:val="28"/>
    <w:qFormat/>
    <w:uiPriority w:val="0"/>
    <w:pPr>
      <w:numPr>
        <w:ilvl w:val="4"/>
        <w:numId w:val="1"/>
      </w:numPr>
      <w:adjustRightInd w:val="0"/>
      <w:spacing w:line="460" w:lineRule="exact"/>
      <w:jc w:val="left"/>
      <w:textAlignment w:val="baseline"/>
      <w:outlineLvl w:val="4"/>
    </w:pPr>
    <w:rPr>
      <w:rFonts w:ascii="Times New Roman" w:hAnsi="Times New Roman" w:eastAsia="宋体" w:cs="Times New Roman"/>
      <w:kern w:val="0"/>
      <w:sz w:val="24"/>
      <w:szCs w:val="20"/>
    </w:rPr>
  </w:style>
  <w:style w:type="paragraph" w:styleId="7">
    <w:name w:val="heading 6"/>
    <w:basedOn w:val="1"/>
    <w:link w:val="29"/>
    <w:qFormat/>
    <w:uiPriority w:val="0"/>
    <w:pPr>
      <w:numPr>
        <w:ilvl w:val="5"/>
        <w:numId w:val="1"/>
      </w:numPr>
      <w:adjustRightInd w:val="0"/>
      <w:spacing w:line="460" w:lineRule="exact"/>
      <w:jc w:val="left"/>
      <w:textAlignment w:val="baseline"/>
      <w:outlineLvl w:val="5"/>
    </w:pPr>
    <w:rPr>
      <w:rFonts w:ascii="Times New Roman" w:hAnsi="Times New Roman" w:eastAsia="宋体" w:cs="Times New Roman"/>
      <w:kern w:val="0"/>
      <w:sz w:val="24"/>
      <w:szCs w:val="20"/>
    </w:rPr>
  </w:style>
  <w:style w:type="paragraph" w:styleId="8">
    <w:name w:val="heading 7"/>
    <w:basedOn w:val="1"/>
    <w:link w:val="30"/>
    <w:qFormat/>
    <w:uiPriority w:val="0"/>
    <w:pPr>
      <w:numPr>
        <w:ilvl w:val="6"/>
        <w:numId w:val="1"/>
      </w:numPr>
      <w:adjustRightInd w:val="0"/>
      <w:spacing w:line="460" w:lineRule="exact"/>
      <w:jc w:val="left"/>
      <w:textAlignment w:val="baseline"/>
      <w:outlineLvl w:val="6"/>
    </w:pPr>
    <w:rPr>
      <w:rFonts w:ascii="Times New Roman" w:hAnsi="Times New Roman" w:eastAsia="宋体" w:cs="Times New Roman"/>
      <w:kern w:val="0"/>
      <w:sz w:val="24"/>
      <w:szCs w:val="20"/>
    </w:rPr>
  </w:style>
  <w:style w:type="paragraph" w:styleId="9">
    <w:name w:val="heading 8"/>
    <w:basedOn w:val="1"/>
    <w:link w:val="31"/>
    <w:qFormat/>
    <w:uiPriority w:val="0"/>
    <w:pPr>
      <w:numPr>
        <w:ilvl w:val="7"/>
        <w:numId w:val="1"/>
      </w:numPr>
      <w:adjustRightInd w:val="0"/>
      <w:spacing w:line="460" w:lineRule="exact"/>
      <w:jc w:val="left"/>
      <w:textAlignment w:val="baseline"/>
      <w:outlineLvl w:val="7"/>
    </w:pPr>
    <w:rPr>
      <w:rFonts w:ascii="Times New Roman" w:hAnsi="Times New Roman" w:eastAsia="宋体" w:cs="Times New Roman"/>
      <w:kern w:val="0"/>
      <w:sz w:val="24"/>
      <w:szCs w:val="20"/>
    </w:rPr>
  </w:style>
  <w:style w:type="paragraph" w:styleId="10">
    <w:name w:val="heading 9"/>
    <w:basedOn w:val="1"/>
    <w:next w:val="1"/>
    <w:link w:val="32"/>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cs="Times New Roman"/>
      <w:kern w:val="0"/>
      <w:sz w:val="24"/>
      <w:szCs w:val="20"/>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Plain Text"/>
    <w:basedOn w:val="1"/>
    <w:link w:val="33"/>
    <w:qFormat/>
    <w:uiPriority w:val="0"/>
    <w:rPr>
      <w:rFonts w:ascii="宋体" w:hAnsi="Courier New" w:eastAsia="宋体" w:cs="Times New Roman"/>
      <w:szCs w:val="20"/>
    </w:rPr>
  </w:style>
  <w:style w:type="paragraph" w:styleId="12">
    <w:name w:val="Date"/>
    <w:basedOn w:val="1"/>
    <w:next w:val="1"/>
    <w:link w:val="23"/>
    <w:semiHidden/>
    <w:unhideWhenUsed/>
    <w:qFormat/>
    <w:uiPriority w:val="99"/>
    <w:pPr>
      <w:ind w:left="100" w:leftChars="2500"/>
    </w:pPr>
  </w:style>
  <w:style w:type="paragraph" w:styleId="13">
    <w:name w:val="footer"/>
    <w:basedOn w:val="1"/>
    <w:link w:val="22"/>
    <w:unhideWhenUsed/>
    <w:qFormat/>
    <w:uiPriority w:val="99"/>
    <w:pPr>
      <w:tabs>
        <w:tab w:val="center" w:pos="4153"/>
        <w:tab w:val="right" w:pos="8306"/>
      </w:tabs>
      <w:snapToGrid w:val="0"/>
      <w:jc w:val="left"/>
    </w:pPr>
    <w:rPr>
      <w:sz w:val="18"/>
      <w:szCs w:val="18"/>
    </w:rPr>
  </w:style>
  <w:style w:type="paragraph" w:styleId="14">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Normal (Web)"/>
    <w:basedOn w:val="1"/>
    <w:unhideWhenUsed/>
    <w:qFormat/>
    <w:uiPriority w:val="99"/>
    <w:pPr>
      <w:widowControl/>
      <w:spacing w:after="240" w:line="360" w:lineRule="atLeast"/>
      <w:jc w:val="left"/>
    </w:pPr>
    <w:rPr>
      <w:rFonts w:ascii="Arial" w:hAnsi="Arial" w:eastAsia="宋体" w:cs="Arial"/>
      <w:color w:val="000000"/>
      <w:kern w:val="0"/>
      <w:sz w:val="14"/>
      <w:szCs w:val="14"/>
    </w:rPr>
  </w:style>
  <w:style w:type="table" w:styleId="17">
    <w:name w:val="Table Grid"/>
    <w:basedOn w:val="1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9">
    <w:name w:val="FollowedHyperlink"/>
    <w:basedOn w:val="18"/>
    <w:semiHidden/>
    <w:unhideWhenUsed/>
    <w:qFormat/>
    <w:uiPriority w:val="99"/>
    <w:rPr>
      <w:color w:val="800080"/>
      <w:u w:val="single"/>
    </w:rPr>
  </w:style>
  <w:style w:type="character" w:styleId="20">
    <w:name w:val="Hyperlink"/>
    <w:basedOn w:val="18"/>
    <w:semiHidden/>
    <w:unhideWhenUsed/>
    <w:qFormat/>
    <w:uiPriority w:val="99"/>
    <w:rPr>
      <w:color w:val="0000FF"/>
      <w:u w:val="single"/>
    </w:rPr>
  </w:style>
  <w:style w:type="character" w:customStyle="1" w:styleId="21">
    <w:name w:val="页眉 Char"/>
    <w:basedOn w:val="18"/>
    <w:link w:val="14"/>
    <w:qFormat/>
    <w:uiPriority w:val="99"/>
    <w:rPr>
      <w:sz w:val="18"/>
      <w:szCs w:val="18"/>
    </w:rPr>
  </w:style>
  <w:style w:type="character" w:customStyle="1" w:styleId="22">
    <w:name w:val="页脚 Char"/>
    <w:basedOn w:val="18"/>
    <w:link w:val="13"/>
    <w:qFormat/>
    <w:uiPriority w:val="99"/>
    <w:rPr>
      <w:sz w:val="18"/>
      <w:szCs w:val="18"/>
    </w:rPr>
  </w:style>
  <w:style w:type="character" w:customStyle="1" w:styleId="23">
    <w:name w:val="日期 Char"/>
    <w:basedOn w:val="18"/>
    <w:link w:val="12"/>
    <w:semiHidden/>
    <w:qFormat/>
    <w:uiPriority w:val="99"/>
  </w:style>
  <w:style w:type="paragraph" w:styleId="24">
    <w:name w:val="List Paragraph"/>
    <w:basedOn w:val="1"/>
    <w:qFormat/>
    <w:uiPriority w:val="99"/>
    <w:pPr>
      <w:spacing w:before="100" w:beforeAutospacing="1" w:after="100" w:line="100" w:lineRule="atLeast"/>
      <w:ind w:firstLine="420" w:firstLineChars="200"/>
    </w:pPr>
    <w:rPr>
      <w:rFonts w:ascii="Calibri" w:hAnsi="Calibri" w:eastAsia="宋体" w:cs="Times New Roman"/>
    </w:rPr>
  </w:style>
  <w:style w:type="character" w:customStyle="1" w:styleId="25">
    <w:name w:val="标题 2 Char"/>
    <w:basedOn w:val="18"/>
    <w:link w:val="3"/>
    <w:qFormat/>
    <w:uiPriority w:val="0"/>
    <w:rPr>
      <w:rFonts w:ascii="Times New Roman" w:hAnsi="Times New Roman" w:eastAsia="宋体" w:cs="Times New Roman"/>
      <w:b/>
      <w:kern w:val="0"/>
      <w:sz w:val="24"/>
      <w:szCs w:val="20"/>
    </w:rPr>
  </w:style>
  <w:style w:type="character" w:customStyle="1" w:styleId="26">
    <w:name w:val="标题 3 Char"/>
    <w:basedOn w:val="18"/>
    <w:link w:val="4"/>
    <w:qFormat/>
    <w:uiPriority w:val="0"/>
    <w:rPr>
      <w:rFonts w:ascii="Times New Roman" w:hAnsi="Times New Roman" w:eastAsia="宋体" w:cs="Times New Roman"/>
      <w:kern w:val="0"/>
      <w:sz w:val="24"/>
      <w:szCs w:val="20"/>
    </w:rPr>
  </w:style>
  <w:style w:type="character" w:customStyle="1" w:styleId="27">
    <w:name w:val="标题 4 Char"/>
    <w:basedOn w:val="18"/>
    <w:link w:val="5"/>
    <w:qFormat/>
    <w:uiPriority w:val="0"/>
    <w:rPr>
      <w:rFonts w:ascii="Times New Roman" w:hAnsi="Times New Roman" w:eastAsia="宋体" w:cs="Times New Roman"/>
      <w:kern w:val="0"/>
      <w:sz w:val="24"/>
      <w:szCs w:val="20"/>
    </w:rPr>
  </w:style>
  <w:style w:type="character" w:customStyle="1" w:styleId="28">
    <w:name w:val="标题 5 Char"/>
    <w:basedOn w:val="18"/>
    <w:link w:val="6"/>
    <w:qFormat/>
    <w:uiPriority w:val="0"/>
    <w:rPr>
      <w:rFonts w:ascii="Times New Roman" w:hAnsi="Times New Roman" w:eastAsia="宋体" w:cs="Times New Roman"/>
      <w:kern w:val="0"/>
      <w:sz w:val="24"/>
      <w:szCs w:val="20"/>
    </w:rPr>
  </w:style>
  <w:style w:type="character" w:customStyle="1" w:styleId="29">
    <w:name w:val="标题 6 Char"/>
    <w:basedOn w:val="18"/>
    <w:link w:val="7"/>
    <w:qFormat/>
    <w:uiPriority w:val="0"/>
    <w:rPr>
      <w:rFonts w:ascii="Times New Roman" w:hAnsi="Times New Roman" w:eastAsia="宋体" w:cs="Times New Roman"/>
      <w:kern w:val="0"/>
      <w:sz w:val="24"/>
      <w:szCs w:val="20"/>
    </w:rPr>
  </w:style>
  <w:style w:type="character" w:customStyle="1" w:styleId="30">
    <w:name w:val="标题 7 Char"/>
    <w:basedOn w:val="18"/>
    <w:link w:val="8"/>
    <w:qFormat/>
    <w:uiPriority w:val="0"/>
    <w:rPr>
      <w:rFonts w:ascii="Times New Roman" w:hAnsi="Times New Roman" w:eastAsia="宋体" w:cs="Times New Roman"/>
      <w:kern w:val="0"/>
      <w:sz w:val="24"/>
      <w:szCs w:val="20"/>
    </w:rPr>
  </w:style>
  <w:style w:type="character" w:customStyle="1" w:styleId="31">
    <w:name w:val="标题 8 Char"/>
    <w:basedOn w:val="18"/>
    <w:link w:val="9"/>
    <w:qFormat/>
    <w:uiPriority w:val="0"/>
    <w:rPr>
      <w:rFonts w:ascii="Times New Roman" w:hAnsi="Times New Roman" w:eastAsia="宋体" w:cs="Times New Roman"/>
      <w:kern w:val="0"/>
      <w:sz w:val="24"/>
      <w:szCs w:val="20"/>
    </w:rPr>
  </w:style>
  <w:style w:type="character" w:customStyle="1" w:styleId="32">
    <w:name w:val="标题 9 Char"/>
    <w:basedOn w:val="18"/>
    <w:link w:val="10"/>
    <w:qFormat/>
    <w:uiPriority w:val="0"/>
    <w:rPr>
      <w:rFonts w:ascii="Arial" w:hAnsi="Arial" w:eastAsia="黑体" w:cs="Times New Roman"/>
      <w:kern w:val="0"/>
      <w:sz w:val="24"/>
      <w:szCs w:val="20"/>
    </w:rPr>
  </w:style>
  <w:style w:type="character" w:customStyle="1" w:styleId="33">
    <w:name w:val="纯文本 Char"/>
    <w:basedOn w:val="18"/>
    <w:link w:val="11"/>
    <w:qFormat/>
    <w:uiPriority w:val="0"/>
    <w:rPr>
      <w:rFonts w:ascii="宋体" w:hAnsi="Courier New" w:eastAsia="宋体" w:cs="Times New Roman"/>
      <w:szCs w:val="20"/>
    </w:rPr>
  </w:style>
  <w:style w:type="paragraph" w:customStyle="1" w:styleId="34">
    <w:name w:val="font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5">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36">
    <w:name w:val="font6"/>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7">
    <w:name w:val="xl76"/>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3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3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40">
    <w:name w:val="xl79"/>
    <w:basedOn w:val="1"/>
    <w:qFormat/>
    <w:uiPriority w:val="0"/>
    <w:pPr>
      <w:widowControl/>
      <w:spacing w:before="100" w:beforeAutospacing="1" w:after="100" w:afterAutospacing="1"/>
      <w:jc w:val="left"/>
      <w:textAlignment w:val="center"/>
    </w:pPr>
    <w:rPr>
      <w:rFonts w:ascii="宋体" w:hAnsi="宋体" w:eastAsia="宋体" w:cs="宋体"/>
      <w:kern w:val="0"/>
      <w:sz w:val="24"/>
      <w:szCs w:val="24"/>
    </w:rPr>
  </w:style>
  <w:style w:type="paragraph" w:customStyle="1" w:styleId="41">
    <w:name w:val="xl80"/>
    <w:basedOn w:val="1"/>
    <w:qFormat/>
    <w:uiPriority w:val="0"/>
    <w:pPr>
      <w:widowControl/>
      <w:spacing w:before="100" w:beforeAutospacing="1" w:after="100" w:afterAutospacing="1"/>
      <w:jc w:val="center"/>
      <w:textAlignment w:val="center"/>
    </w:pPr>
    <w:rPr>
      <w:rFonts w:ascii="宋体" w:hAnsi="宋体" w:eastAsia="宋体" w:cs="宋体"/>
      <w:kern w:val="0"/>
      <w:sz w:val="24"/>
      <w:szCs w:val="24"/>
    </w:rPr>
  </w:style>
  <w:style w:type="paragraph" w:customStyle="1" w:styleId="42">
    <w:name w:val="xl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3">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45">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46">
    <w:name w:val="样式1"/>
    <w:basedOn w:val="1"/>
    <w:qFormat/>
    <w:uiPriority w:val="0"/>
    <w:pPr>
      <w:adjustRightInd w:val="0"/>
      <w:spacing w:line="420" w:lineRule="auto"/>
      <w:jc w:val="center"/>
      <w:textAlignment w:val="baseline"/>
    </w:pPr>
    <w:rPr>
      <w:rFonts w:ascii="宋体" w:hAnsi="Times New Roman" w:eastAsia="宋体" w:cs="Times New Roman"/>
      <w:kern w:val="0"/>
      <w:sz w:val="24"/>
      <w:szCs w:val="20"/>
    </w:rPr>
  </w:style>
  <w:style w:type="character" w:customStyle="1" w:styleId="47">
    <w:name w:val="标题 1 Char"/>
    <w:basedOn w:val="18"/>
    <w:link w:val="2"/>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6AEE43-6344-4D62-A2C3-9ADC39F1F52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1585</Words>
  <Characters>1701</Characters>
  <Lines>12</Lines>
  <Paragraphs>3</Paragraphs>
  <TotalTime>10</TotalTime>
  <ScaleCrop>false</ScaleCrop>
  <LinksUpToDate>false</LinksUpToDate>
  <CharactersWithSpaces>1711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2025-09-15T02:28:00Z</dcterms:created>
  <dc:creator>PC</dc:creator>
  <cp:lastModifiedBy>董石语</cp:lastModifiedBy>
  <cp:lastPrinted>2025-09-15T07:40:58Z</cp:lastPrinted>
  <dcterms:modified xsi:type="dcterms:W3CDTF">2025-09-16T01:26:44Z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eyJoZGlkIjoiODVjMWYyNDZlNjI1MDgwMWQ1NWNlNmFkNzIwMjk4ZGEiLCJ1c2VySWQiOiIxNjYzNzE0NjM4In0=</vt:lpwstr>
  </property>
  <property fmtid="{D5CDD505-2E9C-101B-9397-08002B2CF9AE}" pid="3" name="KSOProductBuildVer">
    <vt:lpwstr>2052-12.1.0.22529</vt:lpwstr>
  </property>
  <property fmtid="{D5CDD505-2E9C-101B-9397-08002B2CF9AE}" pid="4" name="ICV">
    <vt:lpwstr>33EF1CDCDD0F461DBA0A6C1DECEFAB78_13</vt:lpwstr>
  </property>
</Properties>
</file>